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9769D"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620" w:type="dxa"/>
        <w:jc w:val="center"/>
        <w:tblLayout w:type="fixed"/>
        <w:tblCellMar>
          <w:left w:w="115" w:type="dxa"/>
          <w:right w:w="115" w:type="dxa"/>
        </w:tblCellMar>
        <w:tblLook w:val="0600" w:firstRow="0" w:lastRow="0" w:firstColumn="0" w:lastColumn="0" w:noHBand="1" w:noVBand="1"/>
      </w:tblPr>
      <w:tblGrid>
        <w:gridCol w:w="6030"/>
        <w:gridCol w:w="4590"/>
      </w:tblGrid>
      <w:tr w:rsidR="00207CAA" w14:paraId="793A83EB" w14:textId="77777777" w:rsidTr="00207CAA">
        <w:trPr>
          <w:jc w:val="center"/>
        </w:trPr>
        <w:tc>
          <w:tcPr>
            <w:tcW w:w="6030" w:type="dxa"/>
            <w:tcBorders>
              <w:bottom w:val="single" w:sz="4" w:space="0" w:color="000000" w:themeColor="text1"/>
            </w:tcBorders>
          </w:tcPr>
          <w:p w14:paraId="625814D6"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24C45B3" wp14:editId="131AA0CC">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4590" w:type="dxa"/>
            <w:tcBorders>
              <w:bottom w:val="single" w:sz="4" w:space="0" w:color="000000" w:themeColor="text1"/>
            </w:tcBorders>
          </w:tcPr>
          <w:p w14:paraId="68245199" w14:textId="77777777" w:rsidR="00567D6C" w:rsidRDefault="00263651">
            <w:pPr>
              <w:rPr>
                <w:b/>
                <w:smallCaps/>
                <w:sz w:val="22"/>
                <w:szCs w:val="22"/>
              </w:rPr>
            </w:pPr>
            <w:r>
              <w:rPr>
                <w:b/>
                <w:smallCaps/>
                <w:sz w:val="22"/>
                <w:szCs w:val="22"/>
              </w:rPr>
              <w:t>The Council of the City of New York</w:t>
            </w:r>
          </w:p>
          <w:p w14:paraId="545B3E16" w14:textId="77777777" w:rsidR="00567D6C" w:rsidRDefault="00263651">
            <w:pPr>
              <w:rPr>
                <w:b/>
                <w:smallCaps/>
                <w:sz w:val="22"/>
                <w:szCs w:val="22"/>
              </w:rPr>
            </w:pPr>
            <w:r>
              <w:rPr>
                <w:b/>
                <w:smallCaps/>
                <w:sz w:val="22"/>
                <w:szCs w:val="22"/>
              </w:rPr>
              <w:t>Finance Division</w:t>
            </w:r>
          </w:p>
          <w:p w14:paraId="4B69B439" w14:textId="77777777"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14:paraId="3133CD91" w14:textId="77777777" w:rsidR="00567D6C" w:rsidRDefault="00263651">
            <w:pPr>
              <w:spacing w:before="120"/>
              <w:rPr>
                <w:sz w:val="22"/>
                <w:szCs w:val="22"/>
              </w:rPr>
            </w:pPr>
            <w:r>
              <w:rPr>
                <w:b/>
                <w:smallCaps/>
                <w:sz w:val="22"/>
                <w:szCs w:val="22"/>
              </w:rPr>
              <w:t>Fiscal Impact Statement</w:t>
            </w:r>
          </w:p>
          <w:p w14:paraId="2B620BDE" w14:textId="77777777"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365FB2">
              <w:rPr>
                <w:b/>
                <w:bCs/>
                <w:sz w:val="22"/>
                <w:szCs w:val="22"/>
              </w:rPr>
              <w:t>1520</w:t>
            </w:r>
            <w:r w:rsidR="00D067C8">
              <w:rPr>
                <w:b/>
                <w:bCs/>
                <w:sz w:val="22"/>
                <w:szCs w:val="22"/>
              </w:rPr>
              <w:t>-A</w:t>
            </w:r>
          </w:p>
          <w:p w14:paraId="6B6E1578" w14:textId="77777777" w:rsidR="00567D6C" w:rsidRDefault="00263651" w:rsidP="00DD5EC7">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00365FB2">
              <w:rPr>
                <w:b/>
                <w:sz w:val="22"/>
                <w:szCs w:val="22"/>
              </w:rPr>
              <w:t>Finance</w:t>
            </w:r>
          </w:p>
        </w:tc>
      </w:tr>
      <w:tr w:rsidR="00207CAA" w14:paraId="27BB5093" w14:textId="77777777" w:rsidTr="00207CAA">
        <w:trPr>
          <w:jc w:val="center"/>
        </w:trPr>
        <w:tc>
          <w:tcPr>
            <w:tcW w:w="6030" w:type="dxa"/>
            <w:tcBorders>
              <w:top w:val="single" w:sz="4" w:space="0" w:color="000000" w:themeColor="text1"/>
            </w:tcBorders>
          </w:tcPr>
          <w:p w14:paraId="54E3BACB" w14:textId="77777777" w:rsidR="00EC3A83" w:rsidRDefault="00263651" w:rsidP="00A9091F">
            <w:pPr>
              <w:pStyle w:val="Body"/>
              <w:shd w:val="clear" w:color="auto" w:fill="FFFFFF"/>
              <w:ind w:left="-23"/>
              <w:jc w:val="both"/>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w:t>
            </w:r>
            <w:r w:rsidR="00FB7101">
              <w:t xml:space="preserve">relation to </w:t>
            </w:r>
            <w:r w:rsidR="00365FB2" w:rsidRPr="00365FB2">
              <w:t>requiring the department of finance to report on the parking violations bureau</w:t>
            </w:r>
          </w:p>
          <w:p w14:paraId="3F81D14B" w14:textId="77777777" w:rsidR="00E47E1F" w:rsidRDefault="00E47E1F" w:rsidP="00A9091F">
            <w:pPr>
              <w:pStyle w:val="Body"/>
              <w:shd w:val="clear" w:color="auto" w:fill="FFFFFF"/>
              <w:ind w:left="-203"/>
              <w:jc w:val="both"/>
            </w:pPr>
          </w:p>
        </w:tc>
        <w:tc>
          <w:tcPr>
            <w:tcW w:w="4590" w:type="dxa"/>
            <w:tcBorders>
              <w:top w:val="single" w:sz="4" w:space="0" w:color="000000" w:themeColor="text1"/>
            </w:tcBorders>
          </w:tcPr>
          <w:p w14:paraId="7246F206" w14:textId="44DFE758" w:rsidR="00134E88" w:rsidRPr="00134E88" w:rsidRDefault="00263651" w:rsidP="004A724D">
            <w:pPr>
              <w:jc w:val="both"/>
              <w:rPr>
                <w:rFonts w:eastAsia="Arial Unicode MS" w:cs="Arial Unicode MS"/>
                <w:color w:val="000000"/>
                <w:sz w:val="22"/>
                <w:szCs w:val="22"/>
                <w:u w:color="000000"/>
                <w:bdr w:val="nil"/>
              </w:rPr>
            </w:pPr>
            <w:r w:rsidRPr="56A63D9C">
              <w:rPr>
                <w:b/>
                <w:bCs/>
                <w:smallCaps/>
                <w:sz w:val="22"/>
                <w:szCs w:val="22"/>
              </w:rPr>
              <w:t>Sponsor</w:t>
            </w:r>
            <w:r w:rsidRPr="56A63D9C">
              <w:rPr>
                <w:b/>
                <w:bCs/>
                <w:sz w:val="22"/>
                <w:szCs w:val="22"/>
              </w:rPr>
              <w:t xml:space="preserve">: </w:t>
            </w:r>
            <w:r w:rsidR="00D151CE">
              <w:rPr>
                <w:sz w:val="22"/>
                <w:szCs w:val="22"/>
              </w:rPr>
              <w:t>Council Member</w:t>
            </w:r>
            <w:r w:rsidR="00365FB2">
              <w:rPr>
                <w:sz w:val="22"/>
                <w:szCs w:val="22"/>
              </w:rPr>
              <w:t xml:space="preserve"> Dromm</w:t>
            </w:r>
          </w:p>
          <w:p w14:paraId="26BFD0D5" w14:textId="77777777" w:rsidR="00107082" w:rsidRDefault="00107082" w:rsidP="56A63D9C">
            <w:pPr>
              <w:widowControl w:val="0"/>
              <w:rPr>
                <w:color w:val="000000" w:themeColor="text1"/>
                <w:sz w:val="22"/>
                <w:szCs w:val="22"/>
              </w:rPr>
            </w:pPr>
          </w:p>
        </w:tc>
      </w:tr>
    </w:tbl>
    <w:p w14:paraId="580EDF08" w14:textId="5CBAE6B8" w:rsidR="00365FB2" w:rsidRDefault="00263651" w:rsidP="00A90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96069">
        <w:rPr>
          <w:b/>
          <w:bCs/>
          <w:smallCaps/>
          <w:sz w:val="22"/>
          <w:szCs w:val="22"/>
        </w:rPr>
        <w:t>Summary of Legislation:</w:t>
      </w:r>
      <w:r w:rsidRPr="00C96069">
        <w:rPr>
          <w:sz w:val="22"/>
          <w:szCs w:val="22"/>
        </w:rPr>
        <w:t xml:space="preserve">  Proposed Intro. No. </w:t>
      </w:r>
      <w:r w:rsidR="00365FB2">
        <w:rPr>
          <w:sz w:val="22"/>
          <w:szCs w:val="22"/>
        </w:rPr>
        <w:t>1520</w:t>
      </w:r>
      <w:r w:rsidR="00D067C8">
        <w:rPr>
          <w:sz w:val="22"/>
          <w:szCs w:val="22"/>
        </w:rPr>
        <w:t>-</w:t>
      </w:r>
      <w:r w:rsidR="00D067C8" w:rsidRPr="00365FB2">
        <w:rPr>
          <w:sz w:val="22"/>
          <w:szCs w:val="22"/>
        </w:rPr>
        <w:t>A</w:t>
      </w:r>
      <w:r w:rsidRPr="00365FB2">
        <w:rPr>
          <w:sz w:val="22"/>
          <w:szCs w:val="22"/>
        </w:rPr>
        <w:t xml:space="preserve"> </w:t>
      </w:r>
      <w:r w:rsidR="009B2589" w:rsidRPr="00365FB2">
        <w:rPr>
          <w:sz w:val="22"/>
          <w:szCs w:val="22"/>
        </w:rPr>
        <w:t xml:space="preserve">would </w:t>
      </w:r>
      <w:r w:rsidR="00365FB2" w:rsidRPr="00365FB2">
        <w:rPr>
          <w:sz w:val="22"/>
          <w:szCs w:val="22"/>
        </w:rPr>
        <w:t>require the Department of Finance</w:t>
      </w:r>
      <w:r w:rsidR="00365FB2">
        <w:rPr>
          <w:sz w:val="22"/>
          <w:szCs w:val="22"/>
        </w:rPr>
        <w:t xml:space="preserve"> (</w:t>
      </w:r>
      <w:r w:rsidR="007F3210">
        <w:rPr>
          <w:sz w:val="22"/>
          <w:szCs w:val="22"/>
        </w:rPr>
        <w:t>Department</w:t>
      </w:r>
      <w:r w:rsidR="00365FB2">
        <w:rPr>
          <w:sz w:val="22"/>
          <w:szCs w:val="22"/>
        </w:rPr>
        <w:t>)</w:t>
      </w:r>
      <w:r w:rsidR="00365FB2" w:rsidRPr="00365FB2">
        <w:rPr>
          <w:sz w:val="22"/>
          <w:szCs w:val="22"/>
        </w:rPr>
        <w:t xml:space="preserve"> to report on the operations of the Parking Violations Bureau, including specific information about the number and types of parking violations and camera violations issued, the Bureau’s efficiency of collection of penalties, the adjudication efficiency and outcomes, and separate information about violations subject to any program of the department that allows for the payment of a reduced fine by waiving a right to a hearing.</w:t>
      </w:r>
      <w:r w:rsidR="00365FB2">
        <w:rPr>
          <w:sz w:val="22"/>
          <w:szCs w:val="22"/>
        </w:rPr>
        <w:t xml:space="preserve"> Such report would be submitted to the Mayor, the Speaker of the Council, and </w:t>
      </w:r>
      <w:r w:rsidR="00AB0BF5">
        <w:rPr>
          <w:sz w:val="22"/>
          <w:szCs w:val="22"/>
        </w:rPr>
        <w:t>posted on</w:t>
      </w:r>
      <w:r w:rsidR="00365FB2">
        <w:rPr>
          <w:sz w:val="22"/>
          <w:szCs w:val="22"/>
        </w:rPr>
        <w:t xml:space="preserve"> the </w:t>
      </w:r>
      <w:r w:rsidR="007F3210">
        <w:rPr>
          <w:sz w:val="22"/>
          <w:szCs w:val="22"/>
        </w:rPr>
        <w:t>department</w:t>
      </w:r>
      <w:r w:rsidR="00365FB2">
        <w:rPr>
          <w:sz w:val="22"/>
          <w:szCs w:val="22"/>
        </w:rPr>
        <w:t>’s website on or before September 30 of each year.</w:t>
      </w:r>
    </w:p>
    <w:p w14:paraId="08163920" w14:textId="77777777" w:rsidR="00D151CE" w:rsidRPr="00D151CE" w:rsidRDefault="00D151CE" w:rsidP="00D1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151CE">
        <w:rPr>
          <w:sz w:val="22"/>
          <w:szCs w:val="22"/>
        </w:rPr>
        <w:t xml:space="preserve"> </w:t>
      </w:r>
    </w:p>
    <w:p w14:paraId="579A408A" w14:textId="09321330" w:rsidR="008707C1" w:rsidRPr="008707C1" w:rsidRDefault="00263651" w:rsidP="008707C1">
      <w:pPr>
        <w:spacing w:line="259" w:lineRule="auto"/>
        <w:jc w:val="both"/>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w:t>
      </w:r>
      <w:r w:rsidR="00C74068" w:rsidRPr="00C74068">
        <w:rPr>
          <w:color w:val="000000" w:themeColor="text1"/>
          <w:sz w:val="22"/>
          <w:szCs w:val="22"/>
        </w:rPr>
        <w:t>This local law would ta</w:t>
      </w:r>
      <w:r w:rsidR="008707C1">
        <w:rPr>
          <w:color w:val="000000" w:themeColor="text1"/>
          <w:sz w:val="22"/>
          <w:szCs w:val="22"/>
        </w:rPr>
        <w:t xml:space="preserve">ke effect </w:t>
      </w:r>
      <w:r w:rsidR="00365FB2">
        <w:rPr>
          <w:color w:val="000000" w:themeColor="text1"/>
          <w:sz w:val="22"/>
          <w:szCs w:val="22"/>
        </w:rPr>
        <w:t>immediately</w:t>
      </w:r>
      <w:r w:rsidR="00B90CA0">
        <w:rPr>
          <w:color w:val="000000" w:themeColor="text1"/>
          <w:sz w:val="22"/>
          <w:szCs w:val="22"/>
        </w:rPr>
        <w:t>.</w:t>
      </w:r>
    </w:p>
    <w:p w14:paraId="53AAC5A6" w14:textId="77777777" w:rsidR="00C74068" w:rsidRDefault="00C74068" w:rsidP="0077411A">
      <w:pPr>
        <w:spacing w:line="259" w:lineRule="auto"/>
        <w:rPr>
          <w:color w:val="000000" w:themeColor="text1"/>
          <w:sz w:val="22"/>
          <w:szCs w:val="22"/>
        </w:rPr>
      </w:pPr>
    </w:p>
    <w:p w14:paraId="596D5123" w14:textId="77777777"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BB4798">
        <w:rPr>
          <w:smallCaps/>
          <w:sz w:val="22"/>
          <w:szCs w:val="22"/>
        </w:rPr>
        <w:t>3</w:t>
      </w:r>
    </w:p>
    <w:p w14:paraId="51CE91C4"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5E7DCC4A"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CBAF52D" w14:textId="77777777" w:rsidR="003A3D21" w:rsidRDefault="003A3D21" w:rsidP="009D584E">
            <w:pPr>
              <w:spacing w:line="201" w:lineRule="auto"/>
              <w:jc w:val="center"/>
              <w:rPr>
                <w:sz w:val="20"/>
                <w:szCs w:val="20"/>
              </w:rPr>
            </w:pPr>
          </w:p>
          <w:p w14:paraId="2B5CAB8C"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D2DD86D" w14:textId="77777777" w:rsidR="003A3D21" w:rsidRDefault="003A3D21" w:rsidP="009D584E">
            <w:pPr>
              <w:jc w:val="center"/>
              <w:rPr>
                <w:b/>
                <w:bCs/>
                <w:sz w:val="20"/>
                <w:szCs w:val="20"/>
              </w:rPr>
            </w:pPr>
            <w:r w:rsidRPr="6C2AFBF1">
              <w:rPr>
                <w:b/>
                <w:bCs/>
                <w:sz w:val="20"/>
                <w:szCs w:val="20"/>
              </w:rPr>
              <w:t>Effective FY2</w:t>
            </w:r>
            <w:r w:rsidR="00BB4798">
              <w:rPr>
                <w:b/>
                <w:bCs/>
                <w:sz w:val="20"/>
                <w:szCs w:val="20"/>
              </w:rPr>
              <w:t>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02D49AC7" w14:textId="77777777" w:rsidR="003A3D21" w:rsidRDefault="003A3D21" w:rsidP="009D584E">
            <w:pPr>
              <w:jc w:val="center"/>
              <w:rPr>
                <w:b/>
                <w:bCs/>
                <w:sz w:val="20"/>
                <w:szCs w:val="20"/>
              </w:rPr>
            </w:pPr>
            <w:r w:rsidRPr="6C2AFBF1">
              <w:rPr>
                <w:b/>
                <w:bCs/>
                <w:sz w:val="20"/>
                <w:szCs w:val="20"/>
              </w:rPr>
              <w:t>FY Succeeding Effective FY2</w:t>
            </w:r>
            <w:r w:rsidR="00BB4798">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31427B37" w14:textId="77777777" w:rsidR="003A3D21" w:rsidRPr="6C2AFBF1" w:rsidRDefault="003A3D21" w:rsidP="009D584E">
            <w:pPr>
              <w:jc w:val="center"/>
              <w:rPr>
                <w:b/>
                <w:bCs/>
                <w:sz w:val="20"/>
                <w:szCs w:val="20"/>
              </w:rPr>
            </w:pPr>
            <w:r w:rsidRPr="6C2AFBF1">
              <w:rPr>
                <w:b/>
                <w:bCs/>
                <w:sz w:val="20"/>
                <w:szCs w:val="20"/>
              </w:rPr>
              <w:t>Full Fiscal Impact FY2</w:t>
            </w:r>
            <w:r w:rsidR="00BB4798">
              <w:rPr>
                <w:b/>
                <w:bCs/>
                <w:sz w:val="20"/>
                <w:szCs w:val="20"/>
              </w:rPr>
              <w:t>3</w:t>
            </w:r>
          </w:p>
        </w:tc>
      </w:tr>
      <w:tr w:rsidR="003A3D21" w14:paraId="429697DF"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B132587"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8935C12"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584008F0"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2BA3B655" w14:textId="77777777" w:rsidR="003A3D21" w:rsidRDefault="003A3D21" w:rsidP="009D584E">
            <w:pPr>
              <w:jc w:val="center"/>
              <w:rPr>
                <w:sz w:val="20"/>
                <w:szCs w:val="20"/>
              </w:rPr>
            </w:pPr>
            <w:r>
              <w:rPr>
                <w:sz w:val="20"/>
                <w:szCs w:val="20"/>
              </w:rPr>
              <w:t>$0</w:t>
            </w:r>
          </w:p>
        </w:tc>
      </w:tr>
      <w:tr w:rsidR="003A3D21" w14:paraId="5AE0A450"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64D1A4F"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6F7096F"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7E31E520"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5B2FFBED"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14:paraId="4CC6A3E4"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70C7C82"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35117333"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7D3B9F"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6549A2"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bl>
    <w:p w14:paraId="7B8A4C13" w14:textId="77777777" w:rsidR="008A2D2F" w:rsidRDefault="00263651" w:rsidP="00A9091F">
      <w:pPr>
        <w:spacing w:before="120"/>
        <w:jc w:val="both"/>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is estimated that there would be no impact on revenues resulting from the enactment of this</w:t>
      </w:r>
      <w:r w:rsidR="00FE78DA">
        <w:rPr>
          <w:sz w:val="22"/>
          <w:szCs w:val="22"/>
        </w:rPr>
        <w:t xml:space="preserve"> </w:t>
      </w:r>
      <w:r w:rsidR="008A2D2F" w:rsidRPr="008A2D2F">
        <w:rPr>
          <w:sz w:val="22"/>
          <w:szCs w:val="22"/>
        </w:rPr>
        <w:t>legislation</w:t>
      </w:r>
      <w:r w:rsidR="00FE78DA">
        <w:rPr>
          <w:sz w:val="22"/>
          <w:szCs w:val="22"/>
        </w:rPr>
        <w:t>.</w:t>
      </w:r>
    </w:p>
    <w:p w14:paraId="03956479" w14:textId="77777777" w:rsidR="00567D6C" w:rsidRDefault="00567D6C" w:rsidP="00A9091F">
      <w:pPr>
        <w:jc w:val="both"/>
        <w:rPr>
          <w:b/>
          <w:smallCaps/>
          <w:sz w:val="22"/>
          <w:szCs w:val="22"/>
        </w:rPr>
      </w:pPr>
    </w:p>
    <w:p w14:paraId="153C3B45" w14:textId="4FEAED81" w:rsidR="00DA445E" w:rsidRDefault="00263651" w:rsidP="00A9091F">
      <w:pPr>
        <w:jc w:val="both"/>
        <w:rPr>
          <w:sz w:val="22"/>
          <w:szCs w:val="22"/>
        </w:rPr>
      </w:pPr>
      <w:r w:rsidRPr="440A625D">
        <w:rPr>
          <w:b/>
          <w:bCs/>
          <w:smallCaps/>
          <w:sz w:val="22"/>
          <w:szCs w:val="22"/>
        </w:rPr>
        <w:t>Impact on Expenditures:</w:t>
      </w:r>
      <w:r w:rsidRPr="440A625D">
        <w:rPr>
          <w:sz w:val="22"/>
          <w:szCs w:val="22"/>
        </w:rPr>
        <w:t xml:space="preserve"> </w:t>
      </w:r>
      <w:r w:rsidR="00484F9E" w:rsidRPr="37699244">
        <w:rPr>
          <w:sz w:val="22"/>
          <w:szCs w:val="22"/>
        </w:rPr>
        <w:t xml:space="preserve">It </w:t>
      </w:r>
      <w:r w:rsidR="00FE78DA" w:rsidRPr="00FE78DA">
        <w:rPr>
          <w:sz w:val="22"/>
          <w:szCs w:val="22"/>
        </w:rPr>
        <w:t>is estimated that there would be no impact on expenditures</w:t>
      </w:r>
      <w:r w:rsidR="00D2467F">
        <w:rPr>
          <w:sz w:val="22"/>
          <w:szCs w:val="22"/>
        </w:rPr>
        <w:t xml:space="preserve"> </w:t>
      </w:r>
      <w:r w:rsidR="00636AFF">
        <w:rPr>
          <w:sz w:val="22"/>
          <w:szCs w:val="22"/>
        </w:rPr>
        <w:t xml:space="preserve">resulting </w:t>
      </w:r>
      <w:r w:rsidR="00B05E59">
        <w:rPr>
          <w:sz w:val="22"/>
          <w:szCs w:val="22"/>
        </w:rPr>
        <w:t>from the enactment of this legislation</w:t>
      </w:r>
      <w:r w:rsidR="009F53FE">
        <w:rPr>
          <w:sz w:val="22"/>
          <w:szCs w:val="22"/>
        </w:rPr>
        <w:t xml:space="preserve"> because the </w:t>
      </w:r>
      <w:r w:rsidR="007F3210">
        <w:rPr>
          <w:sz w:val="22"/>
          <w:szCs w:val="22"/>
        </w:rPr>
        <w:t>department</w:t>
      </w:r>
      <w:r w:rsidR="009F53FE">
        <w:rPr>
          <w:sz w:val="22"/>
          <w:szCs w:val="22"/>
        </w:rPr>
        <w:t xml:space="preserve"> would utilize existing resources</w:t>
      </w:r>
      <w:r w:rsidR="007F3210">
        <w:rPr>
          <w:sz w:val="22"/>
          <w:szCs w:val="22"/>
        </w:rPr>
        <w:t xml:space="preserve"> to implement the requirements of this legislation</w:t>
      </w:r>
      <w:r w:rsidR="009F53FE">
        <w:rPr>
          <w:sz w:val="22"/>
          <w:szCs w:val="22"/>
        </w:rPr>
        <w:t>.</w:t>
      </w:r>
    </w:p>
    <w:p w14:paraId="42BA7A37"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6B4D55">
        <w:rPr>
          <w:sz w:val="22"/>
          <w:szCs w:val="22"/>
        </w:rPr>
        <w:t>N/A</w:t>
      </w:r>
    </w:p>
    <w:p w14:paraId="06EF7A02" w14:textId="77777777"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14:paraId="2C285307" w14:textId="77777777"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sidR="00365FB2">
        <w:rPr>
          <w:color w:val="000000"/>
          <w:sz w:val="22"/>
          <w:szCs w:val="22"/>
        </w:rPr>
        <w:t>New York City Department of Finance</w:t>
      </w:r>
      <w:r>
        <w:rPr>
          <w:rFonts w:ascii="Calibri" w:eastAsia="Calibri" w:hAnsi="Calibri" w:cs="Calibri"/>
          <w:color w:val="000000"/>
          <w:sz w:val="22"/>
          <w:szCs w:val="22"/>
        </w:rPr>
        <w:t xml:space="preserve"> </w:t>
      </w:r>
      <w:r w:rsidR="00E4342E">
        <w:rPr>
          <w:rFonts w:eastAsia="Calibri"/>
          <w:color w:val="000000"/>
          <w:sz w:val="22"/>
          <w:szCs w:val="22"/>
        </w:rPr>
        <w:tab/>
      </w:r>
      <w:r w:rsidR="00263651" w:rsidRPr="005B205E">
        <w:rPr>
          <w:rFonts w:eastAsia="Calibri"/>
          <w:color w:val="000000"/>
          <w:sz w:val="22"/>
          <w:szCs w:val="22"/>
        </w:rPr>
        <w:t xml:space="preserve"> </w:t>
      </w:r>
    </w:p>
    <w:p w14:paraId="22060524" w14:textId="77777777" w:rsidR="00567D6C" w:rsidRDefault="00263651">
      <w:pPr>
        <w:spacing w:before="240"/>
        <w:rPr>
          <w:smallCaps/>
          <w:sz w:val="22"/>
          <w:szCs w:val="22"/>
        </w:rPr>
      </w:pPr>
      <w:r>
        <w:rPr>
          <w:b/>
          <w:smallCaps/>
          <w:sz w:val="22"/>
          <w:szCs w:val="22"/>
        </w:rPr>
        <w:t xml:space="preserve">Estimate Prepared by:    </w:t>
      </w:r>
      <w:r>
        <w:rPr>
          <w:b/>
          <w:smallCaps/>
          <w:sz w:val="22"/>
          <w:szCs w:val="22"/>
        </w:rPr>
        <w:tab/>
      </w:r>
      <w:r>
        <w:rPr>
          <w:sz w:val="22"/>
          <w:szCs w:val="22"/>
        </w:rPr>
        <w:t>John Basile, Senior Financial Analyst</w:t>
      </w:r>
    </w:p>
    <w:p w14:paraId="5C00087F" w14:textId="77777777" w:rsidR="00CA15DE" w:rsidRDefault="00CA15DE">
      <w:pPr>
        <w:rPr>
          <w:b/>
          <w:smallCaps/>
          <w:sz w:val="22"/>
          <w:szCs w:val="22"/>
        </w:rPr>
      </w:pPr>
    </w:p>
    <w:p w14:paraId="0852E8DA" w14:textId="77777777" w:rsidR="00567D6C" w:rsidRDefault="00263651">
      <w:pPr>
        <w:rPr>
          <w:sz w:val="22"/>
          <w:szCs w:val="22"/>
        </w:rPr>
      </w:pPr>
      <w:r>
        <w:rPr>
          <w:b/>
          <w:smallCaps/>
          <w:sz w:val="22"/>
          <w:szCs w:val="22"/>
        </w:rPr>
        <w:t>Estimate Reviewed by:</w:t>
      </w:r>
      <w:r>
        <w:rPr>
          <w:b/>
          <w:smallCaps/>
          <w:sz w:val="22"/>
          <w:szCs w:val="22"/>
        </w:rPr>
        <w:tab/>
      </w:r>
      <w:r w:rsidR="00FE78DA">
        <w:rPr>
          <w:sz w:val="22"/>
          <w:szCs w:val="22"/>
        </w:rPr>
        <w:t>Chima Obichere</w:t>
      </w:r>
      <w:r>
        <w:rPr>
          <w:sz w:val="22"/>
          <w:szCs w:val="22"/>
        </w:rPr>
        <w:t xml:space="preserve">, </w:t>
      </w:r>
      <w:r w:rsidR="00FE78DA">
        <w:rPr>
          <w:sz w:val="22"/>
          <w:szCs w:val="22"/>
        </w:rPr>
        <w:t>Unit Head</w:t>
      </w:r>
    </w:p>
    <w:p w14:paraId="6FBB9835" w14:textId="77777777" w:rsidR="00567D6C" w:rsidRDefault="00263651">
      <w:pPr>
        <w:rPr>
          <w:sz w:val="22"/>
          <w:szCs w:val="22"/>
        </w:rPr>
      </w:pPr>
      <w:r>
        <w:rPr>
          <w:sz w:val="22"/>
          <w:szCs w:val="22"/>
        </w:rPr>
        <w:tab/>
      </w:r>
      <w:r>
        <w:rPr>
          <w:sz w:val="22"/>
          <w:szCs w:val="22"/>
        </w:rPr>
        <w:tab/>
      </w:r>
      <w:r>
        <w:rPr>
          <w:sz w:val="22"/>
          <w:szCs w:val="22"/>
        </w:rPr>
        <w:tab/>
      </w:r>
      <w:r>
        <w:rPr>
          <w:sz w:val="22"/>
          <w:szCs w:val="22"/>
        </w:rPr>
        <w:tab/>
      </w:r>
      <w:r w:rsidR="00CA15DE">
        <w:rPr>
          <w:sz w:val="22"/>
          <w:szCs w:val="22"/>
        </w:rPr>
        <w:t>Noah Brick</w:t>
      </w:r>
      <w:r w:rsidRPr="008705D7">
        <w:rPr>
          <w:sz w:val="22"/>
          <w:szCs w:val="22"/>
        </w:rPr>
        <w:t>, Assistant Counsel</w:t>
      </w:r>
      <w:r>
        <w:t xml:space="preserve"> </w:t>
      </w:r>
    </w:p>
    <w:p w14:paraId="0ACB1F1F" w14:textId="77777777" w:rsidR="00DA445E" w:rsidRDefault="00263651">
      <w:pPr>
        <w:spacing w:before="240" w:after="240"/>
        <w:jc w:val="both"/>
        <w:rPr>
          <w:sz w:val="22"/>
          <w:szCs w:val="22"/>
        </w:rPr>
      </w:pPr>
      <w:r w:rsidRPr="3743CED7">
        <w:rPr>
          <w:b/>
          <w:bCs/>
          <w:smallCaps/>
          <w:sz w:val="22"/>
          <w:szCs w:val="22"/>
        </w:rPr>
        <w:t>Legislative History:</w:t>
      </w:r>
      <w:r w:rsidR="00270E87">
        <w:rPr>
          <w:sz w:val="22"/>
          <w:szCs w:val="22"/>
        </w:rPr>
        <w:t xml:space="preserve"> </w:t>
      </w:r>
      <w:r w:rsidR="001825DF" w:rsidRPr="3743CED7">
        <w:rPr>
          <w:color w:val="000000" w:themeColor="text1"/>
          <w:sz w:val="22"/>
          <w:szCs w:val="22"/>
        </w:rPr>
        <w:t xml:space="preserve">This legislation was first introduced to the Council as Intro. No. </w:t>
      </w:r>
      <w:r w:rsidR="00365FB2">
        <w:rPr>
          <w:color w:val="000000" w:themeColor="text1"/>
          <w:sz w:val="22"/>
          <w:szCs w:val="22"/>
        </w:rPr>
        <w:t>1520</w:t>
      </w:r>
      <w:r w:rsidR="001825DF" w:rsidRPr="3743CED7">
        <w:rPr>
          <w:color w:val="000000" w:themeColor="text1"/>
          <w:sz w:val="22"/>
          <w:szCs w:val="22"/>
        </w:rPr>
        <w:t xml:space="preserve"> on</w:t>
      </w:r>
      <w:r w:rsidR="001825DF">
        <w:rPr>
          <w:color w:val="000000" w:themeColor="text1"/>
          <w:sz w:val="22"/>
          <w:szCs w:val="22"/>
        </w:rPr>
        <w:t xml:space="preserve"> </w:t>
      </w:r>
      <w:r w:rsidR="00365FB2">
        <w:rPr>
          <w:color w:val="000000" w:themeColor="text1"/>
          <w:sz w:val="22"/>
          <w:szCs w:val="22"/>
        </w:rPr>
        <w:t>April 18</w:t>
      </w:r>
      <w:r w:rsidR="001825DF" w:rsidRPr="3743CED7">
        <w:rPr>
          <w:color w:val="000000" w:themeColor="text1"/>
          <w:sz w:val="22"/>
          <w:szCs w:val="22"/>
        </w:rPr>
        <w:t>, 20</w:t>
      </w:r>
      <w:r w:rsidR="00365FB2">
        <w:rPr>
          <w:color w:val="000000" w:themeColor="text1"/>
          <w:sz w:val="22"/>
          <w:szCs w:val="22"/>
        </w:rPr>
        <w:t>19</w:t>
      </w:r>
      <w:r w:rsidR="001825DF" w:rsidRPr="3743CED7">
        <w:rPr>
          <w:color w:val="000000" w:themeColor="text1"/>
          <w:sz w:val="22"/>
          <w:szCs w:val="22"/>
        </w:rPr>
        <w:t xml:space="preserve"> and referred to the Committee on </w:t>
      </w:r>
      <w:r w:rsidR="00365FB2">
        <w:rPr>
          <w:color w:val="000000" w:themeColor="text1"/>
          <w:sz w:val="22"/>
          <w:szCs w:val="22"/>
        </w:rPr>
        <w:t>Finance</w:t>
      </w:r>
      <w:r w:rsidR="009F53FE">
        <w:rPr>
          <w:color w:val="000000" w:themeColor="text1"/>
          <w:sz w:val="22"/>
          <w:szCs w:val="22"/>
        </w:rPr>
        <w:t xml:space="preserve"> (Committee)</w:t>
      </w:r>
      <w:r w:rsidR="00AB0BF5">
        <w:rPr>
          <w:color w:val="000000" w:themeColor="text1"/>
          <w:sz w:val="22"/>
          <w:szCs w:val="22"/>
        </w:rPr>
        <w:t>.</w:t>
      </w:r>
      <w:r w:rsidR="001825DF" w:rsidRPr="3743CED7">
        <w:rPr>
          <w:color w:val="000000" w:themeColor="text1"/>
          <w:sz w:val="22"/>
          <w:szCs w:val="22"/>
        </w:rPr>
        <w:t xml:space="preserve"> A </w:t>
      </w:r>
      <w:r w:rsidR="00B82C6C">
        <w:rPr>
          <w:color w:val="000000" w:themeColor="text1"/>
          <w:sz w:val="22"/>
          <w:szCs w:val="22"/>
        </w:rPr>
        <w:t xml:space="preserve">joint </w:t>
      </w:r>
      <w:r w:rsidR="001825DF" w:rsidRPr="3743CED7">
        <w:rPr>
          <w:color w:val="000000" w:themeColor="text1"/>
          <w:sz w:val="22"/>
          <w:szCs w:val="22"/>
        </w:rPr>
        <w:t>hearing was held</w:t>
      </w:r>
      <w:r w:rsidR="00B82C6C">
        <w:rPr>
          <w:color w:val="000000" w:themeColor="text1"/>
          <w:sz w:val="22"/>
          <w:szCs w:val="22"/>
        </w:rPr>
        <w:t xml:space="preserve"> </w:t>
      </w:r>
      <w:r w:rsidR="001825DF" w:rsidRPr="3743CED7">
        <w:rPr>
          <w:color w:val="000000" w:themeColor="text1"/>
          <w:sz w:val="22"/>
          <w:szCs w:val="22"/>
        </w:rPr>
        <w:t>by the Committee</w:t>
      </w:r>
      <w:r w:rsidR="00365FB2">
        <w:rPr>
          <w:color w:val="000000" w:themeColor="text1"/>
          <w:sz w:val="22"/>
          <w:szCs w:val="22"/>
        </w:rPr>
        <w:t xml:space="preserve">, </w:t>
      </w:r>
      <w:r w:rsidR="00D62330">
        <w:rPr>
          <w:color w:val="000000" w:themeColor="text1"/>
          <w:sz w:val="22"/>
          <w:szCs w:val="22"/>
        </w:rPr>
        <w:t xml:space="preserve">the Committee on </w:t>
      </w:r>
      <w:r w:rsidR="00365FB2">
        <w:rPr>
          <w:color w:val="000000" w:themeColor="text1"/>
          <w:sz w:val="22"/>
          <w:szCs w:val="22"/>
        </w:rPr>
        <w:t xml:space="preserve">Transportation, and the Committee on Government Operations </w:t>
      </w:r>
      <w:r w:rsidR="001825DF" w:rsidRPr="3743CED7">
        <w:rPr>
          <w:color w:val="000000" w:themeColor="text1"/>
          <w:sz w:val="22"/>
          <w:szCs w:val="22"/>
        </w:rPr>
        <w:t xml:space="preserve">on </w:t>
      </w:r>
      <w:r w:rsidR="00365FB2">
        <w:rPr>
          <w:color w:val="000000" w:themeColor="text1"/>
          <w:sz w:val="22"/>
          <w:szCs w:val="22"/>
        </w:rPr>
        <w:t>April</w:t>
      </w:r>
      <w:r w:rsidR="00D067C8">
        <w:rPr>
          <w:color w:val="000000" w:themeColor="text1"/>
          <w:sz w:val="22"/>
          <w:szCs w:val="22"/>
        </w:rPr>
        <w:t xml:space="preserve"> </w:t>
      </w:r>
      <w:r w:rsidR="00880C5C">
        <w:rPr>
          <w:color w:val="000000" w:themeColor="text1"/>
          <w:sz w:val="22"/>
          <w:szCs w:val="22"/>
        </w:rPr>
        <w:t>2</w:t>
      </w:r>
      <w:r w:rsidR="00365FB2">
        <w:rPr>
          <w:color w:val="000000" w:themeColor="text1"/>
          <w:sz w:val="22"/>
          <w:szCs w:val="22"/>
        </w:rPr>
        <w:t>9</w:t>
      </w:r>
      <w:r w:rsidR="00D067C8">
        <w:rPr>
          <w:color w:val="000000" w:themeColor="text1"/>
          <w:sz w:val="22"/>
          <w:szCs w:val="22"/>
        </w:rPr>
        <w:t>, 20</w:t>
      </w:r>
      <w:r w:rsidR="00365FB2">
        <w:rPr>
          <w:color w:val="000000" w:themeColor="text1"/>
          <w:sz w:val="22"/>
          <w:szCs w:val="22"/>
        </w:rPr>
        <w:t>19</w:t>
      </w:r>
      <w:r w:rsidR="00D067C8">
        <w:rPr>
          <w:color w:val="000000" w:themeColor="text1"/>
          <w:sz w:val="22"/>
          <w:szCs w:val="22"/>
        </w:rPr>
        <w:t xml:space="preserve"> </w:t>
      </w:r>
      <w:r w:rsidR="001825DF" w:rsidRPr="3743CED7">
        <w:rPr>
          <w:color w:val="000000" w:themeColor="text1"/>
          <w:sz w:val="22"/>
          <w:szCs w:val="22"/>
        </w:rPr>
        <w:t xml:space="preserve">and the bill was laid over.  The legislation was subsequently amended and the amended version, Proposed Intro. No. </w:t>
      </w:r>
      <w:r w:rsidR="00365FB2">
        <w:rPr>
          <w:color w:val="000000" w:themeColor="text1"/>
          <w:sz w:val="22"/>
          <w:szCs w:val="22"/>
        </w:rPr>
        <w:t>1520</w:t>
      </w:r>
      <w:r w:rsidR="00AC0312">
        <w:rPr>
          <w:color w:val="000000" w:themeColor="text1"/>
          <w:sz w:val="22"/>
          <w:szCs w:val="22"/>
        </w:rPr>
        <w:t>-</w:t>
      </w:r>
      <w:r w:rsidR="001825DF" w:rsidRPr="3743CED7">
        <w:rPr>
          <w:color w:val="000000" w:themeColor="text1"/>
          <w:sz w:val="22"/>
          <w:szCs w:val="22"/>
        </w:rPr>
        <w:t xml:space="preserve">A, will be considered by the Committee on </w:t>
      </w:r>
      <w:r w:rsidR="00135EDF">
        <w:rPr>
          <w:color w:val="000000" w:themeColor="text1"/>
          <w:sz w:val="22"/>
          <w:szCs w:val="22"/>
        </w:rPr>
        <w:t>December 9</w:t>
      </w:r>
      <w:r w:rsidR="001825DF" w:rsidRPr="3743CED7">
        <w:rPr>
          <w:color w:val="000000" w:themeColor="text1"/>
          <w:sz w:val="22"/>
          <w:szCs w:val="22"/>
        </w:rPr>
        <w:t>, 202</w:t>
      </w:r>
      <w:r w:rsidR="001825DF">
        <w:rPr>
          <w:color w:val="000000" w:themeColor="text1"/>
          <w:sz w:val="22"/>
          <w:szCs w:val="22"/>
        </w:rPr>
        <w:t>1</w:t>
      </w:r>
      <w:r w:rsidR="001825DF" w:rsidRPr="3743CED7">
        <w:rPr>
          <w:color w:val="000000" w:themeColor="text1"/>
          <w:sz w:val="22"/>
          <w:szCs w:val="22"/>
        </w:rPr>
        <w:t xml:space="preserve">. Upon a successful vote by the Committee, Proposed Intro. No. </w:t>
      </w:r>
      <w:r w:rsidR="00365FB2">
        <w:rPr>
          <w:color w:val="000000" w:themeColor="text1"/>
          <w:sz w:val="22"/>
          <w:szCs w:val="22"/>
        </w:rPr>
        <w:t>1520</w:t>
      </w:r>
      <w:r w:rsidR="001825DF" w:rsidRPr="3743CED7">
        <w:rPr>
          <w:color w:val="000000" w:themeColor="text1"/>
          <w:sz w:val="22"/>
          <w:szCs w:val="22"/>
        </w:rPr>
        <w:t xml:space="preserve">-A will be submitted to the full Council for a vote on </w:t>
      </w:r>
      <w:r w:rsidR="00135EDF">
        <w:rPr>
          <w:color w:val="000000" w:themeColor="text1"/>
          <w:sz w:val="22"/>
          <w:szCs w:val="22"/>
        </w:rPr>
        <w:t>December</w:t>
      </w:r>
      <w:r w:rsidR="001825DF">
        <w:rPr>
          <w:color w:val="000000" w:themeColor="text1"/>
          <w:sz w:val="22"/>
          <w:szCs w:val="22"/>
        </w:rPr>
        <w:t xml:space="preserve"> </w:t>
      </w:r>
      <w:r w:rsidR="00135EDF">
        <w:rPr>
          <w:color w:val="000000" w:themeColor="text1"/>
          <w:sz w:val="22"/>
          <w:szCs w:val="22"/>
        </w:rPr>
        <w:t>9</w:t>
      </w:r>
      <w:r w:rsidR="001825DF">
        <w:rPr>
          <w:color w:val="000000" w:themeColor="text1"/>
          <w:sz w:val="22"/>
          <w:szCs w:val="22"/>
        </w:rPr>
        <w:t xml:space="preserve">, </w:t>
      </w:r>
      <w:r w:rsidR="001825DF" w:rsidRPr="3743CED7">
        <w:rPr>
          <w:color w:val="000000" w:themeColor="text1"/>
          <w:sz w:val="22"/>
          <w:szCs w:val="22"/>
        </w:rPr>
        <w:t>202</w:t>
      </w:r>
      <w:r w:rsidR="001825DF">
        <w:rPr>
          <w:color w:val="000000" w:themeColor="text1"/>
          <w:sz w:val="22"/>
          <w:szCs w:val="22"/>
        </w:rPr>
        <w:t>1</w:t>
      </w:r>
      <w:r w:rsidR="001825DF" w:rsidRPr="3743CED7">
        <w:rPr>
          <w:color w:val="000000" w:themeColor="text1"/>
          <w:sz w:val="22"/>
          <w:szCs w:val="22"/>
        </w:rPr>
        <w:t>.</w:t>
      </w:r>
    </w:p>
    <w:p w14:paraId="2D759119" w14:textId="77777777" w:rsidR="000C7596" w:rsidRDefault="00263651">
      <w:pPr>
        <w:spacing w:before="120"/>
        <w:rPr>
          <w:sz w:val="22"/>
          <w:szCs w:val="22"/>
        </w:rPr>
      </w:pPr>
      <w:r w:rsidRPr="440A625D">
        <w:rPr>
          <w:b/>
          <w:bCs/>
          <w:smallCaps/>
          <w:sz w:val="22"/>
          <w:szCs w:val="22"/>
        </w:rPr>
        <w:t xml:space="preserve">Date Prepared: </w:t>
      </w:r>
      <w:r w:rsidR="00135EDF">
        <w:rPr>
          <w:sz w:val="22"/>
          <w:szCs w:val="22"/>
        </w:rPr>
        <w:t>December</w:t>
      </w:r>
      <w:r w:rsidR="009F431F">
        <w:rPr>
          <w:sz w:val="22"/>
          <w:szCs w:val="22"/>
        </w:rPr>
        <w:t xml:space="preserve"> </w:t>
      </w:r>
      <w:r w:rsidR="00365FB2">
        <w:rPr>
          <w:sz w:val="22"/>
          <w:szCs w:val="22"/>
        </w:rPr>
        <w:t>4</w:t>
      </w:r>
      <w:r w:rsidR="009F431F">
        <w:rPr>
          <w:sz w:val="22"/>
          <w:szCs w:val="22"/>
        </w:rPr>
        <w:t>, 2021</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A6CC" w14:textId="77777777" w:rsidR="00AF30A8" w:rsidRDefault="00AF30A8">
      <w:r>
        <w:separator/>
      </w:r>
    </w:p>
  </w:endnote>
  <w:endnote w:type="continuationSeparator" w:id="0">
    <w:p w14:paraId="089E2032" w14:textId="77777777" w:rsidR="00AF30A8" w:rsidRDefault="00AF30A8">
      <w:r>
        <w:continuationSeparator/>
      </w:r>
    </w:p>
  </w:endnote>
  <w:endnote w:type="continuationNotice" w:id="1">
    <w:p w14:paraId="5559D1CA" w14:textId="77777777" w:rsidR="00AF30A8" w:rsidRDefault="00AF3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6C47" w14:textId="77777777"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365FB2">
      <w:rPr>
        <w:rFonts w:ascii="Cambria" w:eastAsia="Cambria" w:hAnsi="Cambria" w:cs="Cambria"/>
        <w:color w:val="000000" w:themeColor="text1"/>
      </w:rPr>
      <w:t>1520</w:t>
    </w:r>
    <w:r w:rsidR="001825DF">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87B38" w14:textId="77777777" w:rsidR="00AF30A8" w:rsidRDefault="00AF30A8">
      <w:r>
        <w:separator/>
      </w:r>
    </w:p>
  </w:footnote>
  <w:footnote w:type="continuationSeparator" w:id="0">
    <w:p w14:paraId="25A569E8" w14:textId="77777777" w:rsidR="00AF30A8" w:rsidRDefault="00AF30A8">
      <w:r>
        <w:continuationSeparator/>
      </w:r>
    </w:p>
  </w:footnote>
  <w:footnote w:type="continuationNotice" w:id="1">
    <w:p w14:paraId="0EC0CA42" w14:textId="77777777" w:rsidR="00AF30A8" w:rsidRDefault="00AF30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02828"/>
    <w:rsid w:val="00010B49"/>
    <w:rsid w:val="00031563"/>
    <w:rsid w:val="0004550D"/>
    <w:rsid w:val="00053C7C"/>
    <w:rsid w:val="00062710"/>
    <w:rsid w:val="0006311F"/>
    <w:rsid w:val="00070AB2"/>
    <w:rsid w:val="00074581"/>
    <w:rsid w:val="000766A7"/>
    <w:rsid w:val="00084F1C"/>
    <w:rsid w:val="000A5E0C"/>
    <w:rsid w:val="000C7596"/>
    <w:rsid w:val="000D0CBF"/>
    <w:rsid w:val="001004F4"/>
    <w:rsid w:val="00107082"/>
    <w:rsid w:val="0011755C"/>
    <w:rsid w:val="00117F02"/>
    <w:rsid w:val="00134E88"/>
    <w:rsid w:val="00135EDF"/>
    <w:rsid w:val="001462D6"/>
    <w:rsid w:val="00150AD5"/>
    <w:rsid w:val="0016015A"/>
    <w:rsid w:val="00167E51"/>
    <w:rsid w:val="001825DF"/>
    <w:rsid w:val="001979EB"/>
    <w:rsid w:val="001B333F"/>
    <w:rsid w:val="001B4FA0"/>
    <w:rsid w:val="001B7BF5"/>
    <w:rsid w:val="001C3BDD"/>
    <w:rsid w:val="001C783D"/>
    <w:rsid w:val="001D63B1"/>
    <w:rsid w:val="001D716D"/>
    <w:rsid w:val="0020280D"/>
    <w:rsid w:val="002034AC"/>
    <w:rsid w:val="00207CAA"/>
    <w:rsid w:val="00225854"/>
    <w:rsid w:val="00230B79"/>
    <w:rsid w:val="002314BE"/>
    <w:rsid w:val="0023607E"/>
    <w:rsid w:val="00240C91"/>
    <w:rsid w:val="00257631"/>
    <w:rsid w:val="00263651"/>
    <w:rsid w:val="0026373D"/>
    <w:rsid w:val="00270E87"/>
    <w:rsid w:val="002A222A"/>
    <w:rsid w:val="002B0379"/>
    <w:rsid w:val="002C5CC4"/>
    <w:rsid w:val="002F6735"/>
    <w:rsid w:val="0031609D"/>
    <w:rsid w:val="00316681"/>
    <w:rsid w:val="00316816"/>
    <w:rsid w:val="003206BC"/>
    <w:rsid w:val="00333009"/>
    <w:rsid w:val="00343F65"/>
    <w:rsid w:val="003468E2"/>
    <w:rsid w:val="00351419"/>
    <w:rsid w:val="00365FB2"/>
    <w:rsid w:val="003742B1"/>
    <w:rsid w:val="00375E26"/>
    <w:rsid w:val="00396140"/>
    <w:rsid w:val="003A09F8"/>
    <w:rsid w:val="003A3D21"/>
    <w:rsid w:val="003B46E7"/>
    <w:rsid w:val="003C3AA5"/>
    <w:rsid w:val="003C5758"/>
    <w:rsid w:val="003D57AA"/>
    <w:rsid w:val="003E2EDD"/>
    <w:rsid w:val="00400E8F"/>
    <w:rsid w:val="00410075"/>
    <w:rsid w:val="00420FAF"/>
    <w:rsid w:val="00424A38"/>
    <w:rsid w:val="00431ED5"/>
    <w:rsid w:val="0043368C"/>
    <w:rsid w:val="00442F83"/>
    <w:rsid w:val="00451DDA"/>
    <w:rsid w:val="00457364"/>
    <w:rsid w:val="004633AE"/>
    <w:rsid w:val="00484D83"/>
    <w:rsid w:val="00484E71"/>
    <w:rsid w:val="00484F9E"/>
    <w:rsid w:val="0048746F"/>
    <w:rsid w:val="004924D3"/>
    <w:rsid w:val="004A3694"/>
    <w:rsid w:val="004A5D6A"/>
    <w:rsid w:val="004A724D"/>
    <w:rsid w:val="004C7BC3"/>
    <w:rsid w:val="004D08CA"/>
    <w:rsid w:val="004D12F7"/>
    <w:rsid w:val="004D2344"/>
    <w:rsid w:val="004D6B27"/>
    <w:rsid w:val="004D7B78"/>
    <w:rsid w:val="004E5DB2"/>
    <w:rsid w:val="004F345D"/>
    <w:rsid w:val="004F6270"/>
    <w:rsid w:val="00516A5F"/>
    <w:rsid w:val="00521C69"/>
    <w:rsid w:val="005324DF"/>
    <w:rsid w:val="005326A3"/>
    <w:rsid w:val="00533BD2"/>
    <w:rsid w:val="005379D3"/>
    <w:rsid w:val="00555309"/>
    <w:rsid w:val="00567D6C"/>
    <w:rsid w:val="005717C7"/>
    <w:rsid w:val="00571ECE"/>
    <w:rsid w:val="00576A7E"/>
    <w:rsid w:val="00580E5B"/>
    <w:rsid w:val="00587665"/>
    <w:rsid w:val="005A3566"/>
    <w:rsid w:val="005B205E"/>
    <w:rsid w:val="005D3C94"/>
    <w:rsid w:val="005E5BCF"/>
    <w:rsid w:val="005E6A0A"/>
    <w:rsid w:val="005F2F92"/>
    <w:rsid w:val="00610EDE"/>
    <w:rsid w:val="00623E08"/>
    <w:rsid w:val="00636AFF"/>
    <w:rsid w:val="00644758"/>
    <w:rsid w:val="0064704E"/>
    <w:rsid w:val="00666061"/>
    <w:rsid w:val="00670678"/>
    <w:rsid w:val="00694C06"/>
    <w:rsid w:val="006B4D55"/>
    <w:rsid w:val="006D5BFC"/>
    <w:rsid w:val="006F28DB"/>
    <w:rsid w:val="00712A3F"/>
    <w:rsid w:val="00725362"/>
    <w:rsid w:val="007327BB"/>
    <w:rsid w:val="00734566"/>
    <w:rsid w:val="00742005"/>
    <w:rsid w:val="00751AF1"/>
    <w:rsid w:val="0075316A"/>
    <w:rsid w:val="00763454"/>
    <w:rsid w:val="00772603"/>
    <w:rsid w:val="0077411A"/>
    <w:rsid w:val="007C461B"/>
    <w:rsid w:val="007C5F2B"/>
    <w:rsid w:val="007C751B"/>
    <w:rsid w:val="007D02ED"/>
    <w:rsid w:val="007D216F"/>
    <w:rsid w:val="007F2786"/>
    <w:rsid w:val="007F3210"/>
    <w:rsid w:val="008162D6"/>
    <w:rsid w:val="00830134"/>
    <w:rsid w:val="0083596F"/>
    <w:rsid w:val="00844903"/>
    <w:rsid w:val="008468B5"/>
    <w:rsid w:val="008705D7"/>
    <w:rsid w:val="0087076D"/>
    <w:rsid w:val="008707C1"/>
    <w:rsid w:val="00870E1C"/>
    <w:rsid w:val="00870ED7"/>
    <w:rsid w:val="00872EF0"/>
    <w:rsid w:val="00880C5C"/>
    <w:rsid w:val="008925AF"/>
    <w:rsid w:val="008930E8"/>
    <w:rsid w:val="008A2D2F"/>
    <w:rsid w:val="008B0107"/>
    <w:rsid w:val="008B5433"/>
    <w:rsid w:val="008D08BF"/>
    <w:rsid w:val="008F2B73"/>
    <w:rsid w:val="008F6BB1"/>
    <w:rsid w:val="008F6EE4"/>
    <w:rsid w:val="008F7888"/>
    <w:rsid w:val="009126C0"/>
    <w:rsid w:val="00920A7B"/>
    <w:rsid w:val="00942A1D"/>
    <w:rsid w:val="00946BBF"/>
    <w:rsid w:val="0095779C"/>
    <w:rsid w:val="00967B78"/>
    <w:rsid w:val="00974453"/>
    <w:rsid w:val="00985339"/>
    <w:rsid w:val="00986791"/>
    <w:rsid w:val="009A04DF"/>
    <w:rsid w:val="009A7D08"/>
    <w:rsid w:val="009B2589"/>
    <w:rsid w:val="009D2045"/>
    <w:rsid w:val="009D584E"/>
    <w:rsid w:val="009E0A22"/>
    <w:rsid w:val="009F0696"/>
    <w:rsid w:val="009F1FF5"/>
    <w:rsid w:val="009F431F"/>
    <w:rsid w:val="009F447D"/>
    <w:rsid w:val="009F53FE"/>
    <w:rsid w:val="00A009C3"/>
    <w:rsid w:val="00A103F8"/>
    <w:rsid w:val="00A11D0F"/>
    <w:rsid w:val="00A24772"/>
    <w:rsid w:val="00A26C55"/>
    <w:rsid w:val="00A50EB3"/>
    <w:rsid w:val="00A51DB3"/>
    <w:rsid w:val="00A61305"/>
    <w:rsid w:val="00A70F67"/>
    <w:rsid w:val="00A85D43"/>
    <w:rsid w:val="00A9091F"/>
    <w:rsid w:val="00A909F4"/>
    <w:rsid w:val="00A97B87"/>
    <w:rsid w:val="00AB0BF5"/>
    <w:rsid w:val="00AB5134"/>
    <w:rsid w:val="00AC0312"/>
    <w:rsid w:val="00AD3CBC"/>
    <w:rsid w:val="00AD5802"/>
    <w:rsid w:val="00AE058A"/>
    <w:rsid w:val="00AF30A8"/>
    <w:rsid w:val="00B05E59"/>
    <w:rsid w:val="00B108AE"/>
    <w:rsid w:val="00B11DE9"/>
    <w:rsid w:val="00B50028"/>
    <w:rsid w:val="00B56D68"/>
    <w:rsid w:val="00B57C7B"/>
    <w:rsid w:val="00B81594"/>
    <w:rsid w:val="00B826BC"/>
    <w:rsid w:val="00B82C6C"/>
    <w:rsid w:val="00B86A2D"/>
    <w:rsid w:val="00B90CA0"/>
    <w:rsid w:val="00B90D33"/>
    <w:rsid w:val="00B95A17"/>
    <w:rsid w:val="00BB3623"/>
    <w:rsid w:val="00BB4798"/>
    <w:rsid w:val="00BC277B"/>
    <w:rsid w:val="00BD475B"/>
    <w:rsid w:val="00BE0223"/>
    <w:rsid w:val="00BE1816"/>
    <w:rsid w:val="00BE2233"/>
    <w:rsid w:val="00C01ADB"/>
    <w:rsid w:val="00C34949"/>
    <w:rsid w:val="00C37451"/>
    <w:rsid w:val="00C54BC5"/>
    <w:rsid w:val="00C606D8"/>
    <w:rsid w:val="00C628F2"/>
    <w:rsid w:val="00C6436A"/>
    <w:rsid w:val="00C74068"/>
    <w:rsid w:val="00C83A5F"/>
    <w:rsid w:val="00C83B49"/>
    <w:rsid w:val="00C96069"/>
    <w:rsid w:val="00CA15DE"/>
    <w:rsid w:val="00CD1E73"/>
    <w:rsid w:val="00CD2AE8"/>
    <w:rsid w:val="00CD688D"/>
    <w:rsid w:val="00CF47E6"/>
    <w:rsid w:val="00CF5703"/>
    <w:rsid w:val="00CF600E"/>
    <w:rsid w:val="00CF65D6"/>
    <w:rsid w:val="00CF7837"/>
    <w:rsid w:val="00CF7C0C"/>
    <w:rsid w:val="00D026EA"/>
    <w:rsid w:val="00D067C8"/>
    <w:rsid w:val="00D11597"/>
    <w:rsid w:val="00D13056"/>
    <w:rsid w:val="00D151CE"/>
    <w:rsid w:val="00D23138"/>
    <w:rsid w:val="00D232B6"/>
    <w:rsid w:val="00D2467F"/>
    <w:rsid w:val="00D56D03"/>
    <w:rsid w:val="00D62330"/>
    <w:rsid w:val="00D721C5"/>
    <w:rsid w:val="00D80F0C"/>
    <w:rsid w:val="00D8561C"/>
    <w:rsid w:val="00D87F99"/>
    <w:rsid w:val="00D946AE"/>
    <w:rsid w:val="00DA0DB5"/>
    <w:rsid w:val="00DA445E"/>
    <w:rsid w:val="00DA52A3"/>
    <w:rsid w:val="00DA5C8A"/>
    <w:rsid w:val="00DB2241"/>
    <w:rsid w:val="00DC21D2"/>
    <w:rsid w:val="00DD5EC7"/>
    <w:rsid w:val="00DD66B6"/>
    <w:rsid w:val="00DE1452"/>
    <w:rsid w:val="00DE246D"/>
    <w:rsid w:val="00DF024B"/>
    <w:rsid w:val="00DF2507"/>
    <w:rsid w:val="00DF2580"/>
    <w:rsid w:val="00DF6EC4"/>
    <w:rsid w:val="00E045B0"/>
    <w:rsid w:val="00E1219E"/>
    <w:rsid w:val="00E13951"/>
    <w:rsid w:val="00E1454A"/>
    <w:rsid w:val="00E166E8"/>
    <w:rsid w:val="00E4342E"/>
    <w:rsid w:val="00E47E1F"/>
    <w:rsid w:val="00E75F08"/>
    <w:rsid w:val="00E80D0C"/>
    <w:rsid w:val="00E832AD"/>
    <w:rsid w:val="00E922FA"/>
    <w:rsid w:val="00E93E27"/>
    <w:rsid w:val="00E9489C"/>
    <w:rsid w:val="00EA1403"/>
    <w:rsid w:val="00EA2B23"/>
    <w:rsid w:val="00EC3A83"/>
    <w:rsid w:val="00ED3059"/>
    <w:rsid w:val="00EF2B06"/>
    <w:rsid w:val="00EF4F89"/>
    <w:rsid w:val="00F07DDA"/>
    <w:rsid w:val="00F14B29"/>
    <w:rsid w:val="00F729A0"/>
    <w:rsid w:val="00F77EA5"/>
    <w:rsid w:val="00F80C02"/>
    <w:rsid w:val="00F861FD"/>
    <w:rsid w:val="00F91DB5"/>
    <w:rsid w:val="00F92022"/>
    <w:rsid w:val="00F93C88"/>
    <w:rsid w:val="00FB7101"/>
    <w:rsid w:val="00FE718C"/>
    <w:rsid w:val="00FE78DA"/>
    <w:rsid w:val="00FF42B7"/>
    <w:rsid w:val="00FF7444"/>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E8A2"/>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 w:type="paragraph" w:styleId="Revision">
    <w:name w:val="Revision"/>
    <w:hidden/>
    <w:uiPriority w:val="99"/>
    <w:semiHidden/>
    <w:rsid w:val="00A9091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3.xml><?xml version="1.0" encoding="utf-8"?>
<ds:datastoreItem xmlns:ds="http://schemas.openxmlformats.org/officeDocument/2006/customXml" ds:itemID="{25F93AD2-F7ED-4E61-89C0-07EA23559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34460-3565-45B5-9CDF-20000593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2021-12-09T01:21:00Z</dcterms:created>
  <dcterms:modified xsi:type="dcterms:W3CDTF">2021-12-09T01:21:00Z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