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CD7" w:rsidRPr="00262ECA" w:rsidRDefault="00061CD7" w:rsidP="00061CD7">
      <w:pPr>
        <w:spacing w:after="0" w:line="240" w:lineRule="auto"/>
        <w:ind w:left="5760"/>
        <w:jc w:val="right"/>
        <w:rPr>
          <w:rFonts w:ascii="Times New Roman" w:hAnsi="Times New Roman"/>
          <w:u w:val="single"/>
        </w:rPr>
      </w:pPr>
      <w:bookmarkStart w:id="0" w:name="_GoBack"/>
      <w:bookmarkEnd w:id="0"/>
      <w:r w:rsidRPr="00262ECA">
        <w:rPr>
          <w:rFonts w:ascii="Times New Roman" w:hAnsi="Times New Roman"/>
          <w:u w:val="single"/>
        </w:rPr>
        <w:t xml:space="preserve">Oversight and Investigation Unit </w:t>
      </w:r>
    </w:p>
    <w:p w:rsidR="00061CD7" w:rsidRPr="00262ECA" w:rsidRDefault="000F602F" w:rsidP="00061CD7">
      <w:pPr>
        <w:tabs>
          <w:tab w:val="left" w:pos="-1440"/>
        </w:tabs>
        <w:spacing w:after="0" w:line="240" w:lineRule="auto"/>
        <w:ind w:left="4320"/>
        <w:jc w:val="right"/>
        <w:rPr>
          <w:rFonts w:ascii="Times New Roman" w:hAnsi="Times New Roman"/>
          <w:i/>
        </w:rPr>
      </w:pPr>
      <w:r w:rsidRPr="00262ECA">
        <w:rPr>
          <w:rFonts w:ascii="Times New Roman" w:hAnsi="Times New Roman"/>
        </w:rPr>
        <w:t xml:space="preserve">Heather </w:t>
      </w:r>
      <w:r w:rsidR="00DC6D7A">
        <w:rPr>
          <w:rFonts w:ascii="Times New Roman" w:hAnsi="Times New Roman"/>
        </w:rPr>
        <w:t xml:space="preserve">L. </w:t>
      </w:r>
      <w:r w:rsidRPr="00262ECA">
        <w:rPr>
          <w:rFonts w:ascii="Times New Roman" w:hAnsi="Times New Roman"/>
        </w:rPr>
        <w:t>Shaffer</w:t>
      </w:r>
      <w:r w:rsidR="00061CD7" w:rsidRPr="00262ECA">
        <w:rPr>
          <w:rFonts w:ascii="Times New Roman" w:hAnsi="Times New Roman"/>
        </w:rPr>
        <w:t xml:space="preserve">, </w:t>
      </w:r>
      <w:r w:rsidR="00061CD7" w:rsidRPr="00262ECA">
        <w:rPr>
          <w:rFonts w:ascii="Times New Roman" w:hAnsi="Times New Roman"/>
          <w:i/>
        </w:rPr>
        <w:t>Senior Investigative Counsel</w:t>
      </w:r>
    </w:p>
    <w:p w:rsidR="00061CD7" w:rsidRPr="00262ECA" w:rsidRDefault="000F62BD" w:rsidP="00061CD7">
      <w:pPr>
        <w:spacing w:after="0" w:line="240" w:lineRule="auto"/>
        <w:ind w:left="3600" w:firstLine="720"/>
        <w:jc w:val="right"/>
        <w:rPr>
          <w:rFonts w:ascii="Times New Roman" w:hAnsi="Times New Roman"/>
          <w:i/>
        </w:rPr>
      </w:pPr>
      <w:r>
        <w:rPr>
          <w:rFonts w:ascii="Times New Roman" w:hAnsi="Times New Roman"/>
        </w:rPr>
        <w:t>Elizabeth</w:t>
      </w:r>
      <w:r w:rsidR="00061CD7" w:rsidRPr="00262ECA">
        <w:rPr>
          <w:rFonts w:ascii="Times New Roman" w:hAnsi="Times New Roman"/>
        </w:rPr>
        <w:t xml:space="preserve"> Trinder, </w:t>
      </w:r>
      <w:r w:rsidR="00061CD7" w:rsidRPr="00262ECA">
        <w:rPr>
          <w:rFonts w:ascii="Times New Roman" w:hAnsi="Times New Roman"/>
          <w:i/>
        </w:rPr>
        <w:t>Special Investigative Analyst</w:t>
      </w:r>
    </w:p>
    <w:p w:rsidR="00254DED" w:rsidRDefault="00254DED" w:rsidP="00254DED">
      <w:pPr>
        <w:spacing w:after="0" w:line="240" w:lineRule="auto"/>
        <w:ind w:left="3600" w:firstLine="720"/>
        <w:jc w:val="right"/>
        <w:rPr>
          <w:rFonts w:ascii="Times New Roman" w:hAnsi="Times New Roman"/>
          <w:i/>
        </w:rPr>
      </w:pPr>
      <w:r w:rsidRPr="00262ECA">
        <w:rPr>
          <w:rFonts w:ascii="Times New Roman" w:hAnsi="Times New Roman"/>
        </w:rPr>
        <w:t xml:space="preserve">Zachary </w:t>
      </w:r>
      <w:r w:rsidR="00F22B4B">
        <w:rPr>
          <w:rFonts w:ascii="Times New Roman" w:hAnsi="Times New Roman"/>
        </w:rPr>
        <w:t xml:space="preserve">E. </w:t>
      </w:r>
      <w:r w:rsidRPr="00262ECA">
        <w:rPr>
          <w:rFonts w:ascii="Times New Roman" w:hAnsi="Times New Roman"/>
        </w:rPr>
        <w:t xml:space="preserve">Meher, </w:t>
      </w:r>
      <w:r w:rsidRPr="00262ECA">
        <w:rPr>
          <w:rFonts w:ascii="Times New Roman" w:hAnsi="Times New Roman"/>
          <w:i/>
        </w:rPr>
        <w:t>Investigator</w:t>
      </w:r>
    </w:p>
    <w:p w:rsidR="00F22B4B" w:rsidRPr="00F22B4B" w:rsidRDefault="00F22B4B" w:rsidP="00254DED">
      <w:pPr>
        <w:spacing w:after="0" w:line="240" w:lineRule="auto"/>
        <w:ind w:left="3600" w:firstLine="720"/>
        <w:jc w:val="right"/>
        <w:rPr>
          <w:rFonts w:ascii="Times New Roman" w:hAnsi="Times New Roman"/>
          <w:i/>
        </w:rPr>
      </w:pPr>
      <w:r>
        <w:rPr>
          <w:rFonts w:ascii="Times New Roman" w:hAnsi="Times New Roman"/>
        </w:rPr>
        <w:t xml:space="preserve">Ximena Fernandez, </w:t>
      </w:r>
      <w:r w:rsidRPr="009523A4">
        <w:rPr>
          <w:rFonts w:ascii="Times New Roman" w:hAnsi="Times New Roman"/>
          <w:i/>
        </w:rPr>
        <w:t xml:space="preserve">Head </w:t>
      </w:r>
      <w:r>
        <w:rPr>
          <w:rFonts w:ascii="Times New Roman" w:hAnsi="Times New Roman"/>
          <w:i/>
        </w:rPr>
        <w:t>Data Analyst</w:t>
      </w:r>
    </w:p>
    <w:p w:rsidR="00061CD7" w:rsidRPr="00262ECA" w:rsidRDefault="00061CD7" w:rsidP="00061CD7">
      <w:pPr>
        <w:tabs>
          <w:tab w:val="left" w:pos="-1440"/>
        </w:tabs>
        <w:spacing w:after="0" w:line="240" w:lineRule="auto"/>
        <w:ind w:left="4320"/>
        <w:jc w:val="right"/>
        <w:rPr>
          <w:rFonts w:ascii="Times New Roman" w:hAnsi="Times New Roman"/>
          <w:i/>
        </w:rPr>
      </w:pPr>
    </w:p>
    <w:p w:rsidR="00061CD7" w:rsidRPr="00262ECA" w:rsidRDefault="00061CD7" w:rsidP="00061CD7">
      <w:pPr>
        <w:tabs>
          <w:tab w:val="left" w:pos="-1440"/>
        </w:tabs>
        <w:spacing w:after="0" w:line="240" w:lineRule="auto"/>
        <w:ind w:left="4320"/>
        <w:jc w:val="right"/>
        <w:rPr>
          <w:rFonts w:ascii="Times New Roman" w:hAnsi="Times New Roman"/>
          <w:u w:val="single"/>
        </w:rPr>
      </w:pPr>
      <w:r w:rsidRPr="00262ECA">
        <w:rPr>
          <w:rFonts w:ascii="Times New Roman" w:hAnsi="Times New Roman"/>
          <w:u w:val="single"/>
        </w:rPr>
        <w:t xml:space="preserve">Committee on </w:t>
      </w:r>
      <w:r w:rsidR="00B210D8" w:rsidRPr="00262ECA">
        <w:rPr>
          <w:rFonts w:ascii="Times New Roman" w:hAnsi="Times New Roman"/>
          <w:u w:val="single"/>
        </w:rPr>
        <w:t>Housing and Buildings</w:t>
      </w:r>
      <w:r w:rsidRPr="00262ECA">
        <w:rPr>
          <w:rFonts w:ascii="Times New Roman" w:hAnsi="Times New Roman"/>
          <w:u w:val="single"/>
        </w:rPr>
        <w:t xml:space="preserve"> </w:t>
      </w:r>
    </w:p>
    <w:p w:rsidR="00945004" w:rsidRPr="00F7547F" w:rsidRDefault="00061CD7" w:rsidP="00945004">
      <w:pPr>
        <w:tabs>
          <w:tab w:val="left" w:pos="-1440"/>
        </w:tabs>
        <w:spacing w:after="0" w:line="240" w:lineRule="auto"/>
        <w:ind w:left="3600"/>
        <w:jc w:val="right"/>
        <w:rPr>
          <w:rFonts w:ascii="Times New Roman" w:hAnsi="Times New Roman"/>
          <w:i/>
        </w:rPr>
      </w:pPr>
      <w:r w:rsidRPr="00262ECA">
        <w:rPr>
          <w:rFonts w:ascii="Times New Roman" w:hAnsi="Times New Roman"/>
        </w:rPr>
        <w:tab/>
      </w:r>
      <w:r w:rsidR="00945004" w:rsidRPr="005640B3">
        <w:rPr>
          <w:rFonts w:ascii="Times New Roman" w:hAnsi="Times New Roman"/>
        </w:rPr>
        <w:t xml:space="preserve">Austen Brandford, </w:t>
      </w:r>
      <w:r w:rsidR="00945004" w:rsidRPr="00F7547F">
        <w:rPr>
          <w:rFonts w:ascii="Times New Roman" w:hAnsi="Times New Roman"/>
          <w:i/>
        </w:rPr>
        <w:t>Counsel</w:t>
      </w:r>
    </w:p>
    <w:p w:rsidR="00945004" w:rsidRPr="005640B3" w:rsidRDefault="00945004" w:rsidP="00945004">
      <w:pPr>
        <w:tabs>
          <w:tab w:val="left" w:pos="-1440"/>
        </w:tabs>
        <w:spacing w:after="0" w:line="240" w:lineRule="auto"/>
        <w:ind w:left="3600"/>
        <w:jc w:val="right"/>
        <w:rPr>
          <w:rFonts w:ascii="Times New Roman" w:hAnsi="Times New Roman"/>
        </w:rPr>
      </w:pPr>
      <w:r w:rsidRPr="005640B3">
        <w:rPr>
          <w:rFonts w:ascii="Times New Roman" w:hAnsi="Times New Roman"/>
        </w:rPr>
        <w:t xml:space="preserve">                Genan Zilkha, </w:t>
      </w:r>
      <w:r w:rsidRPr="00F7547F">
        <w:rPr>
          <w:rFonts w:ascii="Times New Roman" w:hAnsi="Times New Roman"/>
          <w:i/>
        </w:rPr>
        <w:t>Counsel</w:t>
      </w:r>
    </w:p>
    <w:p w:rsidR="00945004" w:rsidRPr="005640B3" w:rsidRDefault="00945004" w:rsidP="00945004">
      <w:pPr>
        <w:tabs>
          <w:tab w:val="left" w:pos="-1440"/>
        </w:tabs>
        <w:spacing w:after="0" w:line="240" w:lineRule="auto"/>
        <w:ind w:left="3600"/>
        <w:jc w:val="right"/>
        <w:rPr>
          <w:rFonts w:ascii="Times New Roman" w:hAnsi="Times New Roman"/>
        </w:rPr>
      </w:pPr>
      <w:r w:rsidRPr="005640B3">
        <w:rPr>
          <w:rFonts w:ascii="Times New Roman" w:hAnsi="Times New Roman"/>
        </w:rPr>
        <w:t xml:space="preserve">                Audrey Son, </w:t>
      </w:r>
      <w:r w:rsidRPr="00F7547F">
        <w:rPr>
          <w:rFonts w:ascii="Times New Roman" w:hAnsi="Times New Roman"/>
          <w:i/>
        </w:rPr>
        <w:t>Counsel</w:t>
      </w:r>
    </w:p>
    <w:p w:rsidR="00945004" w:rsidRPr="00F7547F" w:rsidRDefault="00945004" w:rsidP="00945004">
      <w:pPr>
        <w:tabs>
          <w:tab w:val="left" w:pos="-1440"/>
        </w:tabs>
        <w:spacing w:after="0" w:line="240" w:lineRule="auto"/>
        <w:ind w:left="3600"/>
        <w:jc w:val="right"/>
        <w:rPr>
          <w:rFonts w:ascii="Times New Roman" w:hAnsi="Times New Roman"/>
          <w:i/>
        </w:rPr>
      </w:pPr>
      <w:r w:rsidRPr="005640B3">
        <w:rPr>
          <w:rFonts w:ascii="Times New Roman" w:hAnsi="Times New Roman"/>
        </w:rPr>
        <w:t xml:space="preserve">                Jose Conde, </w:t>
      </w:r>
      <w:r w:rsidRPr="00F7547F">
        <w:rPr>
          <w:rFonts w:ascii="Times New Roman" w:hAnsi="Times New Roman"/>
          <w:i/>
        </w:rPr>
        <w:t>Senior Legislative Policy Analyst</w:t>
      </w:r>
    </w:p>
    <w:p w:rsidR="00945004" w:rsidRPr="005640B3" w:rsidRDefault="00945004" w:rsidP="00945004">
      <w:pPr>
        <w:tabs>
          <w:tab w:val="left" w:pos="-1440"/>
        </w:tabs>
        <w:spacing w:after="0" w:line="240" w:lineRule="auto"/>
        <w:ind w:left="3600"/>
        <w:jc w:val="right"/>
        <w:rPr>
          <w:rFonts w:ascii="Times New Roman" w:hAnsi="Times New Roman"/>
        </w:rPr>
      </w:pPr>
      <w:r w:rsidRPr="005640B3">
        <w:rPr>
          <w:rFonts w:ascii="Times New Roman" w:hAnsi="Times New Roman"/>
        </w:rPr>
        <w:t xml:space="preserve">Sarah Gastelum, </w:t>
      </w:r>
      <w:r w:rsidRPr="00F7547F">
        <w:rPr>
          <w:rFonts w:ascii="Times New Roman" w:hAnsi="Times New Roman"/>
          <w:i/>
        </w:rPr>
        <w:t>Principal Financial Analyst</w:t>
      </w:r>
      <w:r w:rsidRPr="005640B3">
        <w:rPr>
          <w:rFonts w:ascii="Times New Roman" w:hAnsi="Times New Roman"/>
        </w:rPr>
        <w:t xml:space="preserve"> </w:t>
      </w:r>
    </w:p>
    <w:p w:rsidR="00945004" w:rsidRPr="00262ECA" w:rsidRDefault="00945004" w:rsidP="00945004">
      <w:pPr>
        <w:tabs>
          <w:tab w:val="left" w:pos="-1440"/>
        </w:tabs>
        <w:spacing w:after="0" w:line="240" w:lineRule="auto"/>
        <w:ind w:left="3600"/>
        <w:jc w:val="right"/>
        <w:rPr>
          <w:rFonts w:ascii="Times New Roman" w:hAnsi="Times New Roman"/>
        </w:rPr>
      </w:pPr>
      <w:r w:rsidRPr="005640B3">
        <w:rPr>
          <w:rFonts w:ascii="Times New Roman" w:hAnsi="Times New Roman"/>
        </w:rPr>
        <w:t xml:space="preserve">Luke Zangerle, </w:t>
      </w:r>
      <w:r w:rsidRPr="00F7547F">
        <w:rPr>
          <w:rFonts w:ascii="Times New Roman" w:hAnsi="Times New Roman"/>
          <w:i/>
        </w:rPr>
        <w:t>Financial Analyst</w:t>
      </w:r>
    </w:p>
    <w:p w:rsidR="00061CD7" w:rsidRPr="00262ECA" w:rsidRDefault="00945004" w:rsidP="00061CD7">
      <w:pPr>
        <w:tabs>
          <w:tab w:val="left" w:pos="-1440"/>
        </w:tabs>
        <w:spacing w:after="0" w:line="240" w:lineRule="auto"/>
        <w:ind w:left="3600"/>
        <w:jc w:val="right"/>
        <w:rPr>
          <w:rFonts w:ascii="Times New Roman" w:hAnsi="Times New Roman"/>
        </w:rPr>
      </w:pPr>
      <w:r w:rsidRPr="00262ECA">
        <w:rPr>
          <w:rFonts w:ascii="Times New Roman" w:hAnsi="Times New Roman"/>
        </w:rPr>
        <w:t xml:space="preserve"> </w:t>
      </w:r>
    </w:p>
    <w:p w:rsidR="00061CD7" w:rsidRPr="00262ECA" w:rsidRDefault="00061CD7" w:rsidP="00061CD7">
      <w:pPr>
        <w:tabs>
          <w:tab w:val="left" w:pos="-1440"/>
        </w:tabs>
        <w:spacing w:after="0" w:line="240" w:lineRule="auto"/>
        <w:ind w:left="3600"/>
        <w:jc w:val="right"/>
        <w:rPr>
          <w:rFonts w:ascii="Times New Roman" w:hAnsi="Times New Roman"/>
        </w:rPr>
      </w:pPr>
    </w:p>
    <w:p w:rsidR="00061CD7" w:rsidRPr="00262ECA" w:rsidRDefault="00061CD7" w:rsidP="00061CD7">
      <w:pPr>
        <w:tabs>
          <w:tab w:val="left" w:pos="-1440"/>
        </w:tabs>
        <w:spacing w:after="0" w:line="240" w:lineRule="auto"/>
        <w:ind w:left="3600"/>
        <w:jc w:val="right"/>
        <w:rPr>
          <w:rFonts w:ascii="Times New Roman" w:hAnsi="Times New Roman"/>
        </w:rPr>
      </w:pPr>
      <w:r w:rsidRPr="00262ECA">
        <w:rPr>
          <w:rFonts w:ascii="Times New Roman" w:hAnsi="Times New Roman"/>
          <w:noProof/>
        </w:rPr>
        <w:drawing>
          <wp:anchor distT="0" distB="0" distL="114300" distR="114300" simplePos="0" relativeHeight="251659264" behindDoc="0" locked="0" layoutInCell="0" allowOverlap="1" wp14:anchorId="448189F0" wp14:editId="3895A1CB">
            <wp:simplePos x="0" y="0"/>
            <wp:positionH relativeFrom="column">
              <wp:posOffset>2289464</wp:posOffset>
            </wp:positionH>
            <wp:positionV relativeFrom="paragraph">
              <wp:posOffset>124518</wp:posOffset>
            </wp:positionV>
            <wp:extent cx="1371600" cy="1280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280160"/>
                    </a:xfrm>
                    <a:prstGeom prst="rect">
                      <a:avLst/>
                    </a:prstGeom>
                    <a:noFill/>
                  </pic:spPr>
                </pic:pic>
              </a:graphicData>
            </a:graphic>
          </wp:anchor>
        </w:drawing>
      </w:r>
    </w:p>
    <w:p w:rsidR="00061CD7" w:rsidRPr="00262ECA" w:rsidRDefault="00061CD7" w:rsidP="00061CD7">
      <w:pPr>
        <w:tabs>
          <w:tab w:val="left" w:pos="-1440"/>
        </w:tabs>
        <w:spacing w:after="0" w:line="240" w:lineRule="auto"/>
        <w:ind w:left="3600"/>
        <w:jc w:val="right"/>
        <w:rPr>
          <w:rFonts w:ascii="Times New Roman" w:hAnsi="Times New Roman"/>
        </w:rPr>
      </w:pPr>
    </w:p>
    <w:p w:rsidR="00061CD7" w:rsidRPr="00262ECA" w:rsidRDefault="00061CD7" w:rsidP="00061CD7">
      <w:pPr>
        <w:spacing w:after="0" w:line="240" w:lineRule="auto"/>
        <w:rPr>
          <w:rFonts w:ascii="Times New Roman" w:hAnsi="Times New Roman"/>
        </w:rPr>
      </w:pPr>
    </w:p>
    <w:p w:rsidR="00061CD7" w:rsidRPr="00262ECA" w:rsidRDefault="00061CD7" w:rsidP="00061CD7">
      <w:pPr>
        <w:spacing w:after="0" w:line="240" w:lineRule="auto"/>
        <w:rPr>
          <w:rFonts w:ascii="Times New Roman" w:hAnsi="Times New Roman"/>
        </w:rPr>
      </w:pPr>
    </w:p>
    <w:p w:rsidR="00061CD7" w:rsidRPr="00262ECA" w:rsidRDefault="00061CD7" w:rsidP="00061CD7">
      <w:pPr>
        <w:spacing w:after="0" w:line="240" w:lineRule="auto"/>
        <w:rPr>
          <w:rFonts w:ascii="Times New Roman" w:hAnsi="Times New Roman"/>
        </w:rPr>
      </w:pPr>
    </w:p>
    <w:p w:rsidR="00061CD7" w:rsidRPr="00262ECA" w:rsidRDefault="00061CD7" w:rsidP="00061CD7">
      <w:pPr>
        <w:spacing w:after="0" w:line="240" w:lineRule="auto"/>
        <w:rPr>
          <w:rFonts w:ascii="Times New Roman" w:hAnsi="Times New Roman"/>
        </w:rPr>
      </w:pPr>
    </w:p>
    <w:p w:rsidR="00061CD7" w:rsidRPr="00262ECA" w:rsidRDefault="00061CD7" w:rsidP="00061CD7">
      <w:pPr>
        <w:spacing w:after="0" w:line="240" w:lineRule="auto"/>
        <w:rPr>
          <w:rFonts w:ascii="Times New Roman" w:hAnsi="Times New Roman"/>
        </w:rPr>
      </w:pPr>
    </w:p>
    <w:p w:rsidR="00061CD7" w:rsidRPr="00262ECA" w:rsidRDefault="00061CD7" w:rsidP="00061CD7">
      <w:pPr>
        <w:pStyle w:val="NoSpacing"/>
        <w:rPr>
          <w:rFonts w:ascii="Times New Roman" w:hAnsi="Times New Roman" w:cs="Times New Roman"/>
          <w:sz w:val="24"/>
          <w:szCs w:val="24"/>
        </w:rPr>
      </w:pPr>
    </w:p>
    <w:p w:rsidR="00061CD7" w:rsidRPr="00262ECA" w:rsidRDefault="00061CD7" w:rsidP="00061CD7">
      <w:pPr>
        <w:pStyle w:val="NoSpacing"/>
        <w:rPr>
          <w:rFonts w:ascii="Times New Roman" w:hAnsi="Times New Roman" w:cs="Times New Roman"/>
          <w:sz w:val="24"/>
          <w:szCs w:val="24"/>
        </w:rPr>
      </w:pPr>
    </w:p>
    <w:p w:rsidR="00061CD7" w:rsidRPr="00262ECA" w:rsidRDefault="00061CD7" w:rsidP="00A73FB5">
      <w:pPr>
        <w:pStyle w:val="Heading2"/>
        <w:numPr>
          <w:ilvl w:val="0"/>
          <w:numId w:val="0"/>
        </w:numPr>
        <w:spacing w:before="0" w:after="0"/>
        <w:ind w:left="720"/>
        <w:jc w:val="center"/>
        <w:rPr>
          <w:rFonts w:ascii="Times New Roman" w:hAnsi="Times New Roman" w:cs="Times New Roman"/>
          <w:bCs w:val="0"/>
          <w:i w:val="0"/>
          <w:sz w:val="24"/>
          <w:szCs w:val="24"/>
          <w:u w:val="single"/>
        </w:rPr>
      </w:pPr>
      <w:r w:rsidRPr="00262ECA">
        <w:rPr>
          <w:rFonts w:ascii="Times New Roman" w:hAnsi="Times New Roman" w:cs="Times New Roman"/>
          <w:bCs w:val="0"/>
          <w:i w:val="0"/>
          <w:sz w:val="24"/>
          <w:szCs w:val="24"/>
          <w:u w:val="single"/>
        </w:rPr>
        <w:t>THE COUNCIL OF THE CITY OF NEW YORK</w:t>
      </w:r>
    </w:p>
    <w:p w:rsidR="00061CD7" w:rsidRPr="00262ECA" w:rsidRDefault="00061CD7" w:rsidP="00A73FB5">
      <w:pPr>
        <w:spacing w:after="0" w:line="240" w:lineRule="auto"/>
        <w:jc w:val="center"/>
        <w:rPr>
          <w:rFonts w:ascii="Times New Roman" w:hAnsi="Times New Roman"/>
        </w:rPr>
      </w:pPr>
    </w:p>
    <w:p w:rsidR="00061CD7" w:rsidRPr="00262ECA" w:rsidRDefault="00061CD7" w:rsidP="00A73FB5">
      <w:pPr>
        <w:pStyle w:val="Heading1"/>
        <w:numPr>
          <w:ilvl w:val="0"/>
          <w:numId w:val="0"/>
        </w:numPr>
        <w:spacing w:line="240" w:lineRule="auto"/>
        <w:jc w:val="center"/>
        <w:rPr>
          <w:b/>
          <w:bCs/>
          <w:i w:val="0"/>
          <w:iCs w:val="0"/>
          <w:caps/>
          <w:u w:val="single"/>
        </w:rPr>
      </w:pPr>
      <w:r w:rsidRPr="00262ECA">
        <w:rPr>
          <w:b/>
          <w:bCs/>
          <w:i w:val="0"/>
          <w:iCs w:val="0"/>
          <w:caps/>
          <w:u w:val="single"/>
        </w:rPr>
        <w:t xml:space="preserve">Briefing Paper of the Oversight </w:t>
      </w:r>
      <w:r w:rsidR="0047261A">
        <w:rPr>
          <w:b/>
          <w:bCs/>
          <w:i w:val="0"/>
          <w:iCs w:val="0"/>
          <w:caps/>
          <w:u w:val="single"/>
        </w:rPr>
        <w:t xml:space="preserve">AND </w:t>
      </w:r>
      <w:r w:rsidRPr="00262ECA">
        <w:rPr>
          <w:b/>
          <w:bCs/>
          <w:i w:val="0"/>
          <w:iCs w:val="0"/>
          <w:caps/>
          <w:u w:val="single"/>
        </w:rPr>
        <w:t xml:space="preserve">Investigations </w:t>
      </w:r>
      <w:r w:rsidR="0066367C">
        <w:rPr>
          <w:b/>
          <w:bCs/>
          <w:i w:val="0"/>
          <w:iCs w:val="0"/>
          <w:caps/>
          <w:u w:val="single"/>
        </w:rPr>
        <w:t>COMMITTEE and infrastructure division</w:t>
      </w:r>
    </w:p>
    <w:p w:rsidR="00061CD7" w:rsidRPr="00262ECA" w:rsidRDefault="00061CD7" w:rsidP="00061CD7">
      <w:pPr>
        <w:spacing w:after="0" w:line="240" w:lineRule="auto"/>
        <w:jc w:val="center"/>
        <w:rPr>
          <w:rFonts w:ascii="Times New Roman" w:hAnsi="Times New Roman"/>
        </w:rPr>
      </w:pPr>
      <w:r w:rsidRPr="00262ECA">
        <w:rPr>
          <w:rFonts w:ascii="Times New Roman" w:hAnsi="Times New Roman"/>
        </w:rPr>
        <w:t>Steve Pilnyak, Chief of the Oversight &amp; Investigations Unit</w:t>
      </w:r>
    </w:p>
    <w:p w:rsidR="00061CD7" w:rsidRDefault="00B04FF3" w:rsidP="00061CD7">
      <w:pPr>
        <w:spacing w:after="0" w:line="240" w:lineRule="auto"/>
        <w:jc w:val="center"/>
        <w:rPr>
          <w:rFonts w:ascii="Times New Roman" w:hAnsi="Times New Roman"/>
        </w:rPr>
      </w:pPr>
      <w:r>
        <w:rPr>
          <w:rFonts w:ascii="Times New Roman" w:hAnsi="Times New Roman"/>
        </w:rPr>
        <w:t>Jeff</w:t>
      </w:r>
      <w:r w:rsidR="00061CD7" w:rsidRPr="00262ECA">
        <w:rPr>
          <w:rFonts w:ascii="Times New Roman" w:hAnsi="Times New Roman"/>
        </w:rPr>
        <w:t>r</w:t>
      </w:r>
      <w:r>
        <w:rPr>
          <w:rFonts w:ascii="Times New Roman" w:hAnsi="Times New Roman"/>
        </w:rPr>
        <w:t>e</w:t>
      </w:r>
      <w:r w:rsidR="00061CD7" w:rsidRPr="00262ECA">
        <w:rPr>
          <w:rFonts w:ascii="Times New Roman" w:hAnsi="Times New Roman"/>
        </w:rPr>
        <w:t xml:space="preserve">y Baker, Legislative Director </w:t>
      </w:r>
    </w:p>
    <w:p w:rsidR="008D5D89" w:rsidRPr="00262ECA" w:rsidRDefault="008D5D89" w:rsidP="008D5D89">
      <w:pPr>
        <w:spacing w:after="0" w:line="240" w:lineRule="auto"/>
        <w:jc w:val="center"/>
        <w:rPr>
          <w:rFonts w:ascii="Times New Roman" w:hAnsi="Times New Roman"/>
        </w:rPr>
      </w:pPr>
      <w:r>
        <w:rPr>
          <w:rFonts w:ascii="Times New Roman" w:hAnsi="Times New Roman"/>
        </w:rPr>
        <w:t>Terzah Nasser, Deputy Director of the Infrastructure Division</w:t>
      </w:r>
      <w:r w:rsidRPr="00262ECA">
        <w:rPr>
          <w:rFonts w:ascii="Times New Roman" w:hAnsi="Times New Roman"/>
        </w:rPr>
        <w:t xml:space="preserve"> </w:t>
      </w:r>
    </w:p>
    <w:p w:rsidR="00061CD7" w:rsidRPr="00262ECA" w:rsidRDefault="00061CD7" w:rsidP="00061CD7">
      <w:pPr>
        <w:spacing w:after="0" w:line="240" w:lineRule="auto"/>
        <w:rPr>
          <w:rFonts w:ascii="Times New Roman" w:hAnsi="Times New Roman"/>
        </w:rPr>
      </w:pPr>
    </w:p>
    <w:p w:rsidR="00061CD7" w:rsidRPr="00262ECA" w:rsidRDefault="00061CD7" w:rsidP="00061CD7">
      <w:pPr>
        <w:pStyle w:val="FootnoteText"/>
        <w:jc w:val="center"/>
        <w:rPr>
          <w:rFonts w:ascii="Times New Roman" w:hAnsi="Times New Roman"/>
          <w:b/>
          <w:sz w:val="24"/>
          <w:u w:val="single"/>
        </w:rPr>
      </w:pPr>
      <w:r w:rsidRPr="00262ECA">
        <w:rPr>
          <w:rFonts w:ascii="Times New Roman" w:hAnsi="Times New Roman"/>
          <w:b/>
          <w:sz w:val="24"/>
          <w:u w:val="single"/>
        </w:rPr>
        <w:t xml:space="preserve">COMMITTEE ON OVERSIGHT AND </w:t>
      </w:r>
      <w:r w:rsidRPr="00262ECA">
        <w:rPr>
          <w:rFonts w:ascii="Times New Roman" w:hAnsi="Times New Roman"/>
          <w:b/>
          <w:sz w:val="24"/>
          <w:szCs w:val="24"/>
          <w:u w:val="single"/>
        </w:rPr>
        <w:t>INVESTIGATION</w:t>
      </w:r>
      <w:r w:rsidR="00BB1095">
        <w:rPr>
          <w:rFonts w:ascii="Times New Roman" w:hAnsi="Times New Roman"/>
          <w:b/>
          <w:sz w:val="24"/>
          <w:szCs w:val="24"/>
          <w:u w:val="single"/>
        </w:rPr>
        <w:t>S</w:t>
      </w:r>
      <w:r w:rsidRPr="00262ECA">
        <w:rPr>
          <w:rFonts w:ascii="Times New Roman" w:hAnsi="Times New Roman"/>
          <w:b/>
          <w:sz w:val="24"/>
          <w:u w:val="single"/>
        </w:rPr>
        <w:t xml:space="preserve"> </w:t>
      </w:r>
    </w:p>
    <w:p w:rsidR="00061CD7" w:rsidRPr="00262ECA" w:rsidRDefault="00061CD7" w:rsidP="00061CD7">
      <w:pPr>
        <w:spacing w:after="0" w:line="240" w:lineRule="auto"/>
        <w:jc w:val="center"/>
        <w:rPr>
          <w:rFonts w:ascii="Times New Roman" w:hAnsi="Times New Roman"/>
        </w:rPr>
      </w:pPr>
      <w:r w:rsidRPr="00262ECA">
        <w:rPr>
          <w:rFonts w:ascii="Times New Roman" w:hAnsi="Times New Roman"/>
        </w:rPr>
        <w:t>Hon. Ritchie J. Torres, Chair</w:t>
      </w:r>
    </w:p>
    <w:p w:rsidR="00061CD7" w:rsidRPr="00262ECA" w:rsidRDefault="00061CD7" w:rsidP="00061CD7">
      <w:pPr>
        <w:spacing w:after="0" w:line="240" w:lineRule="auto"/>
        <w:jc w:val="center"/>
        <w:rPr>
          <w:rFonts w:ascii="Times New Roman" w:hAnsi="Times New Roman"/>
        </w:rPr>
      </w:pPr>
    </w:p>
    <w:p w:rsidR="00061CD7" w:rsidRPr="00262ECA" w:rsidRDefault="00061CD7" w:rsidP="00061CD7">
      <w:pPr>
        <w:spacing w:after="0" w:line="240" w:lineRule="auto"/>
        <w:jc w:val="center"/>
        <w:rPr>
          <w:rFonts w:ascii="Times New Roman" w:hAnsi="Times New Roman"/>
          <w:b/>
          <w:u w:val="single"/>
        </w:rPr>
      </w:pPr>
      <w:r w:rsidRPr="00262ECA">
        <w:rPr>
          <w:rFonts w:ascii="Times New Roman" w:hAnsi="Times New Roman"/>
          <w:b/>
          <w:u w:val="single"/>
        </w:rPr>
        <w:t>COMMITTEE ON HOUSING AND BUILDINGS</w:t>
      </w:r>
    </w:p>
    <w:p w:rsidR="00061CD7" w:rsidRPr="00262ECA" w:rsidRDefault="00061CD7" w:rsidP="00061CD7">
      <w:pPr>
        <w:spacing w:after="0" w:line="240" w:lineRule="auto"/>
        <w:jc w:val="center"/>
        <w:rPr>
          <w:rFonts w:ascii="Times New Roman" w:hAnsi="Times New Roman"/>
        </w:rPr>
      </w:pPr>
      <w:r w:rsidRPr="00262ECA">
        <w:rPr>
          <w:rFonts w:ascii="Times New Roman" w:hAnsi="Times New Roman"/>
        </w:rPr>
        <w:t xml:space="preserve">Hon. </w:t>
      </w:r>
      <w:r w:rsidR="00262ECA" w:rsidRPr="00262ECA">
        <w:rPr>
          <w:rFonts w:ascii="Times New Roman" w:eastAsia="Times New Roman" w:hAnsi="Times New Roman"/>
          <w:sz w:val="24"/>
          <w:szCs w:val="24"/>
        </w:rPr>
        <w:t>Robert E. Cornegy, Jr., Chair</w:t>
      </w:r>
    </w:p>
    <w:p w:rsidR="00061CD7" w:rsidRPr="00262ECA" w:rsidRDefault="00061CD7" w:rsidP="00061CD7">
      <w:pPr>
        <w:spacing w:after="0" w:line="240" w:lineRule="auto"/>
        <w:jc w:val="center"/>
        <w:rPr>
          <w:rFonts w:ascii="Times New Roman" w:hAnsi="Times New Roman"/>
          <w:u w:val="single"/>
        </w:rPr>
      </w:pPr>
      <w:r w:rsidRPr="00262ECA">
        <w:rPr>
          <w:rFonts w:ascii="Times New Roman" w:hAnsi="Times New Roman"/>
          <w:b/>
          <w:u w:val="single"/>
        </w:rPr>
        <w:t xml:space="preserve"> </w:t>
      </w:r>
    </w:p>
    <w:p w:rsidR="00061CD7" w:rsidRPr="00262ECA" w:rsidRDefault="00061CD7" w:rsidP="00061CD7">
      <w:pPr>
        <w:spacing w:after="0" w:line="240" w:lineRule="auto"/>
        <w:rPr>
          <w:rFonts w:ascii="Times New Roman" w:hAnsi="Times New Roman"/>
        </w:rPr>
      </w:pPr>
    </w:p>
    <w:p w:rsidR="00061CD7" w:rsidRPr="00262ECA" w:rsidRDefault="00C502F7" w:rsidP="00061CD7">
      <w:pPr>
        <w:shd w:val="clear" w:color="auto" w:fill="FFFFFF"/>
        <w:spacing w:after="0" w:line="240" w:lineRule="auto"/>
        <w:jc w:val="center"/>
        <w:rPr>
          <w:rFonts w:ascii="Times New Roman" w:hAnsi="Times New Roman"/>
          <w:b/>
        </w:rPr>
      </w:pPr>
      <w:r>
        <w:rPr>
          <w:rFonts w:ascii="Times New Roman" w:hAnsi="Times New Roman"/>
          <w:b/>
        </w:rPr>
        <w:t>July 22</w:t>
      </w:r>
      <w:r w:rsidR="00061CD7" w:rsidRPr="00262ECA">
        <w:rPr>
          <w:rFonts w:ascii="Times New Roman" w:hAnsi="Times New Roman"/>
          <w:b/>
        </w:rPr>
        <w:t>, 2019</w:t>
      </w:r>
    </w:p>
    <w:p w:rsidR="00061CD7" w:rsidRPr="00262ECA" w:rsidRDefault="00061CD7" w:rsidP="00061CD7">
      <w:pPr>
        <w:shd w:val="clear" w:color="auto" w:fill="FFFFFF"/>
        <w:spacing w:after="0" w:line="240" w:lineRule="auto"/>
        <w:rPr>
          <w:rFonts w:ascii="Times New Roman" w:hAnsi="Times New Roman"/>
          <w:b/>
        </w:rPr>
      </w:pPr>
    </w:p>
    <w:p w:rsidR="00061CD7" w:rsidRPr="00262ECA" w:rsidRDefault="00061CD7" w:rsidP="00061CD7">
      <w:pPr>
        <w:shd w:val="clear" w:color="auto" w:fill="FFFFFF"/>
        <w:spacing w:after="0" w:line="240" w:lineRule="auto"/>
        <w:rPr>
          <w:rFonts w:ascii="Times New Roman" w:hAnsi="Times New Roman"/>
          <w:b/>
        </w:rPr>
      </w:pPr>
    </w:p>
    <w:p w:rsidR="00061CD7" w:rsidRPr="00262ECA" w:rsidRDefault="008D5D89" w:rsidP="00061CD7">
      <w:pPr>
        <w:shd w:val="clear" w:color="auto" w:fill="FFFFFF"/>
        <w:spacing w:after="0" w:line="240" w:lineRule="auto"/>
        <w:jc w:val="center"/>
        <w:rPr>
          <w:rFonts w:ascii="Times New Roman" w:hAnsi="Times New Roman"/>
          <w:b/>
          <w:u w:val="single"/>
        </w:rPr>
      </w:pPr>
      <w:r>
        <w:rPr>
          <w:rFonts w:ascii="Times New Roman" w:hAnsi="Times New Roman"/>
          <w:b/>
          <w:bCs/>
          <w:u w:val="single"/>
        </w:rPr>
        <w:t xml:space="preserve">Oversight—Taking Stock: A Look </w:t>
      </w:r>
      <w:r w:rsidR="008333EC">
        <w:rPr>
          <w:rFonts w:ascii="Times New Roman" w:hAnsi="Times New Roman"/>
          <w:b/>
          <w:bCs/>
          <w:u w:val="single"/>
        </w:rPr>
        <w:t>into</w:t>
      </w:r>
      <w:r>
        <w:rPr>
          <w:rFonts w:ascii="Times New Roman" w:hAnsi="Times New Roman"/>
          <w:b/>
          <w:bCs/>
          <w:u w:val="single"/>
        </w:rPr>
        <w:t xml:space="preserve"> the Third Party Transfer Program in Modern Day New York</w:t>
      </w:r>
    </w:p>
    <w:p w:rsidR="00061CD7" w:rsidRPr="00262ECA" w:rsidRDefault="00061CD7" w:rsidP="00061CD7">
      <w:pPr>
        <w:jc w:val="both"/>
        <w:rPr>
          <w:rFonts w:ascii="Times New Roman" w:hAnsi="Times New Roman"/>
        </w:rPr>
      </w:pPr>
    </w:p>
    <w:p w:rsidR="00061CD7" w:rsidRPr="00262ECA" w:rsidRDefault="00061CD7" w:rsidP="00061CD7">
      <w:pPr>
        <w:ind w:left="2880" w:hanging="2880"/>
        <w:jc w:val="both"/>
        <w:rPr>
          <w:rFonts w:ascii="Times New Roman" w:hAnsi="Times New Roman"/>
        </w:rPr>
      </w:pPr>
    </w:p>
    <w:p w:rsidR="00061CD7" w:rsidRPr="00262ECA" w:rsidRDefault="00061CD7" w:rsidP="00061CD7">
      <w:pPr>
        <w:ind w:left="2880" w:hanging="2880"/>
        <w:jc w:val="both"/>
        <w:rPr>
          <w:rFonts w:ascii="Times New Roman" w:hAnsi="Times New Roman"/>
        </w:rPr>
      </w:pPr>
    </w:p>
    <w:p w:rsidR="00193644" w:rsidRPr="00353342" w:rsidRDefault="00061CD7" w:rsidP="00004C15">
      <w:pPr>
        <w:pStyle w:val="Heading1"/>
        <w:numPr>
          <w:ilvl w:val="0"/>
          <w:numId w:val="0"/>
        </w:numPr>
        <w:rPr>
          <w:b/>
          <w:i w:val="0"/>
        </w:rPr>
      </w:pPr>
      <w:r w:rsidRPr="0040611A">
        <w:rPr>
          <w:smallCaps/>
          <w:u w:val="single"/>
        </w:rPr>
        <w:br w:type="page"/>
      </w:r>
      <w:r w:rsidR="00193644" w:rsidRPr="00353342">
        <w:rPr>
          <w:b/>
          <w:i w:val="0"/>
        </w:rPr>
        <w:lastRenderedPageBreak/>
        <w:t>INTRODUCTION</w:t>
      </w:r>
    </w:p>
    <w:p w:rsidR="00193644" w:rsidRDefault="0093659A" w:rsidP="00193644">
      <w:pPr>
        <w:spacing w:after="0" w:line="480" w:lineRule="auto"/>
        <w:ind w:firstLine="720"/>
        <w:jc w:val="both"/>
        <w:rPr>
          <w:rFonts w:ascii="Times New Roman" w:hAnsi="Times New Roman"/>
          <w:sz w:val="24"/>
          <w:szCs w:val="24"/>
        </w:rPr>
      </w:pPr>
      <w:r>
        <w:rPr>
          <w:rFonts w:ascii="Times New Roman" w:hAnsi="Times New Roman"/>
          <w:sz w:val="24"/>
          <w:szCs w:val="24"/>
        </w:rPr>
        <w:t>On July 22</w:t>
      </w:r>
      <w:r w:rsidR="00193644">
        <w:rPr>
          <w:rFonts w:ascii="Times New Roman" w:hAnsi="Times New Roman"/>
          <w:sz w:val="24"/>
          <w:szCs w:val="24"/>
        </w:rPr>
        <w:t>, 2019</w:t>
      </w:r>
      <w:r w:rsidR="00193644" w:rsidRPr="00061CD7">
        <w:rPr>
          <w:rFonts w:ascii="Times New Roman" w:hAnsi="Times New Roman"/>
          <w:sz w:val="24"/>
          <w:szCs w:val="24"/>
        </w:rPr>
        <w:t xml:space="preserve">, the </w:t>
      </w:r>
      <w:r w:rsidR="0047261A">
        <w:rPr>
          <w:rFonts w:ascii="Times New Roman" w:hAnsi="Times New Roman"/>
          <w:sz w:val="24"/>
          <w:szCs w:val="24"/>
        </w:rPr>
        <w:t xml:space="preserve">Committees on </w:t>
      </w:r>
      <w:r w:rsidR="00193644">
        <w:rPr>
          <w:rFonts w:ascii="Times New Roman" w:hAnsi="Times New Roman"/>
          <w:sz w:val="24"/>
          <w:szCs w:val="24"/>
        </w:rPr>
        <w:t>Oversight and Investigation</w:t>
      </w:r>
      <w:r w:rsidR="00C36549">
        <w:rPr>
          <w:rFonts w:ascii="Times New Roman" w:hAnsi="Times New Roman"/>
          <w:sz w:val="24"/>
          <w:szCs w:val="24"/>
        </w:rPr>
        <w:t>s</w:t>
      </w:r>
      <w:r w:rsidR="00193644">
        <w:rPr>
          <w:rFonts w:ascii="Times New Roman" w:hAnsi="Times New Roman"/>
          <w:sz w:val="24"/>
          <w:szCs w:val="24"/>
        </w:rPr>
        <w:t xml:space="preserve"> and </w:t>
      </w:r>
      <w:r w:rsidR="00193644" w:rsidRPr="00061CD7">
        <w:rPr>
          <w:rFonts w:ascii="Times New Roman" w:hAnsi="Times New Roman"/>
          <w:sz w:val="24"/>
          <w:szCs w:val="24"/>
        </w:rPr>
        <w:t>Housing and Buildings</w:t>
      </w:r>
      <w:r w:rsidR="00992FA2">
        <w:rPr>
          <w:rFonts w:ascii="Times New Roman" w:hAnsi="Times New Roman"/>
          <w:sz w:val="24"/>
          <w:szCs w:val="24"/>
        </w:rPr>
        <w:t xml:space="preserve"> (collectively, the “Committees”)</w:t>
      </w:r>
      <w:r w:rsidR="00193644" w:rsidRPr="00061CD7">
        <w:rPr>
          <w:rFonts w:ascii="Times New Roman" w:hAnsi="Times New Roman"/>
          <w:sz w:val="24"/>
          <w:szCs w:val="24"/>
        </w:rPr>
        <w:t xml:space="preserve">, </w:t>
      </w:r>
      <w:r w:rsidR="0047261A">
        <w:rPr>
          <w:rFonts w:ascii="Times New Roman" w:hAnsi="Times New Roman"/>
          <w:sz w:val="24"/>
          <w:szCs w:val="24"/>
        </w:rPr>
        <w:t xml:space="preserve">respectively </w:t>
      </w:r>
      <w:r w:rsidR="00193644" w:rsidRPr="00061CD7">
        <w:rPr>
          <w:rFonts w:ascii="Times New Roman" w:hAnsi="Times New Roman"/>
          <w:sz w:val="24"/>
          <w:szCs w:val="24"/>
        </w:rPr>
        <w:t xml:space="preserve">chaired by </w:t>
      </w:r>
      <w:r w:rsidR="00193644">
        <w:rPr>
          <w:rFonts w:ascii="Times New Roman" w:hAnsi="Times New Roman"/>
          <w:sz w:val="24"/>
          <w:szCs w:val="24"/>
        </w:rPr>
        <w:t xml:space="preserve">Council Member Ritchie J. Torres and </w:t>
      </w:r>
      <w:r w:rsidR="00193644" w:rsidRPr="00061CD7">
        <w:rPr>
          <w:rFonts w:ascii="Times New Roman" w:hAnsi="Times New Roman"/>
          <w:sz w:val="24"/>
          <w:szCs w:val="24"/>
        </w:rPr>
        <w:t>Council Member Robert E. Cornegy, Jr., will hold a</w:t>
      </w:r>
      <w:r w:rsidR="00C36549">
        <w:rPr>
          <w:rFonts w:ascii="Times New Roman" w:hAnsi="Times New Roman"/>
          <w:sz w:val="24"/>
          <w:szCs w:val="24"/>
        </w:rPr>
        <w:t xml:space="preserve"> joint </w:t>
      </w:r>
      <w:r w:rsidR="00193644" w:rsidRPr="00061CD7">
        <w:rPr>
          <w:rFonts w:ascii="Times New Roman" w:hAnsi="Times New Roman"/>
          <w:sz w:val="24"/>
          <w:szCs w:val="24"/>
        </w:rPr>
        <w:t xml:space="preserve">oversight hearing </w:t>
      </w:r>
      <w:r w:rsidR="002B3708">
        <w:rPr>
          <w:rFonts w:ascii="Times New Roman" w:hAnsi="Times New Roman"/>
          <w:sz w:val="24"/>
          <w:szCs w:val="24"/>
        </w:rPr>
        <w:t xml:space="preserve">entitled </w:t>
      </w:r>
      <w:r w:rsidR="002B3708" w:rsidRPr="00740FD6">
        <w:rPr>
          <w:rFonts w:ascii="Times New Roman" w:hAnsi="Times New Roman"/>
          <w:i/>
          <w:sz w:val="24"/>
          <w:szCs w:val="24"/>
        </w:rPr>
        <w:t>Taking Stock: A Look Into the Third Party Transfer Program in Modern Day New York</w:t>
      </w:r>
      <w:r w:rsidR="002B3708">
        <w:rPr>
          <w:rFonts w:ascii="Times New Roman" w:hAnsi="Times New Roman"/>
          <w:sz w:val="24"/>
          <w:szCs w:val="24"/>
        </w:rPr>
        <w:t>.  The hearing will examine</w:t>
      </w:r>
      <w:r w:rsidR="002B3708" w:rsidRPr="00061CD7">
        <w:rPr>
          <w:rFonts w:ascii="Times New Roman" w:hAnsi="Times New Roman"/>
          <w:sz w:val="24"/>
          <w:szCs w:val="24"/>
        </w:rPr>
        <w:t xml:space="preserve"> </w:t>
      </w:r>
      <w:r w:rsidR="00193644">
        <w:rPr>
          <w:rFonts w:ascii="Times New Roman" w:hAnsi="Times New Roman"/>
          <w:sz w:val="24"/>
          <w:szCs w:val="24"/>
        </w:rPr>
        <w:t>the Third Party Transfer Program (“TPT” or the “Program”</w:t>
      </w:r>
      <w:r w:rsidR="00193644" w:rsidRPr="00061CD7">
        <w:rPr>
          <w:rFonts w:ascii="Times New Roman" w:hAnsi="Times New Roman"/>
          <w:sz w:val="24"/>
          <w:szCs w:val="24"/>
        </w:rPr>
        <w:t>)</w:t>
      </w:r>
      <w:r w:rsidR="00193644">
        <w:rPr>
          <w:rFonts w:ascii="Times New Roman" w:hAnsi="Times New Roman"/>
          <w:sz w:val="24"/>
          <w:szCs w:val="24"/>
        </w:rPr>
        <w:t>, foc</w:t>
      </w:r>
      <w:r w:rsidR="006D665E">
        <w:rPr>
          <w:rFonts w:ascii="Times New Roman" w:hAnsi="Times New Roman"/>
          <w:sz w:val="24"/>
          <w:szCs w:val="24"/>
        </w:rPr>
        <w:t xml:space="preserve">using on the processes by </w:t>
      </w:r>
      <w:r w:rsidR="0005298A">
        <w:rPr>
          <w:rFonts w:ascii="Times New Roman" w:hAnsi="Times New Roman"/>
          <w:sz w:val="24"/>
          <w:szCs w:val="24"/>
        </w:rPr>
        <w:t xml:space="preserve">which </w:t>
      </w:r>
      <w:r w:rsidR="006D665E">
        <w:rPr>
          <w:rFonts w:ascii="Times New Roman" w:hAnsi="Times New Roman"/>
          <w:sz w:val="24"/>
          <w:szCs w:val="24"/>
        </w:rPr>
        <w:t xml:space="preserve">New York </w:t>
      </w:r>
      <w:r w:rsidR="00193644">
        <w:rPr>
          <w:rFonts w:ascii="Times New Roman" w:hAnsi="Times New Roman"/>
          <w:sz w:val="24"/>
          <w:szCs w:val="24"/>
        </w:rPr>
        <w:t>City</w:t>
      </w:r>
      <w:r w:rsidR="006D665E">
        <w:rPr>
          <w:rFonts w:ascii="Times New Roman" w:hAnsi="Times New Roman"/>
          <w:sz w:val="24"/>
          <w:szCs w:val="24"/>
        </w:rPr>
        <w:t xml:space="preserve"> agencies (the “</w:t>
      </w:r>
      <w:r w:rsidR="00CE5693">
        <w:rPr>
          <w:rFonts w:ascii="Times New Roman" w:hAnsi="Times New Roman"/>
          <w:sz w:val="24"/>
          <w:szCs w:val="24"/>
        </w:rPr>
        <w:t>City</w:t>
      </w:r>
      <w:r w:rsidR="006D665E">
        <w:rPr>
          <w:rFonts w:ascii="Times New Roman" w:hAnsi="Times New Roman"/>
          <w:sz w:val="24"/>
          <w:szCs w:val="24"/>
        </w:rPr>
        <w:t xml:space="preserve">”) </w:t>
      </w:r>
      <w:r w:rsidR="00193644">
        <w:rPr>
          <w:rFonts w:ascii="Times New Roman" w:hAnsi="Times New Roman"/>
          <w:sz w:val="24"/>
          <w:szCs w:val="24"/>
        </w:rPr>
        <w:t>select</w:t>
      </w:r>
      <w:r w:rsidR="0005298A">
        <w:rPr>
          <w:rFonts w:ascii="Times New Roman" w:hAnsi="Times New Roman"/>
          <w:sz w:val="24"/>
          <w:szCs w:val="24"/>
        </w:rPr>
        <w:t>ed</w:t>
      </w:r>
      <w:r w:rsidR="00193644">
        <w:rPr>
          <w:rFonts w:ascii="Times New Roman" w:hAnsi="Times New Roman"/>
          <w:sz w:val="24"/>
          <w:szCs w:val="24"/>
        </w:rPr>
        <w:t xml:space="preserve"> and ultimately foreclose</w:t>
      </w:r>
      <w:r w:rsidR="0005298A">
        <w:rPr>
          <w:rFonts w:ascii="Times New Roman" w:hAnsi="Times New Roman"/>
          <w:sz w:val="24"/>
          <w:szCs w:val="24"/>
        </w:rPr>
        <w:t>d</w:t>
      </w:r>
      <w:r w:rsidR="00193644">
        <w:rPr>
          <w:rFonts w:ascii="Times New Roman" w:hAnsi="Times New Roman"/>
          <w:sz w:val="24"/>
          <w:szCs w:val="24"/>
        </w:rPr>
        <w:t xml:space="preserve"> upon </w:t>
      </w:r>
      <w:r w:rsidR="00C445CE">
        <w:rPr>
          <w:rFonts w:ascii="Times New Roman" w:hAnsi="Times New Roman"/>
          <w:sz w:val="24"/>
          <w:szCs w:val="24"/>
        </w:rPr>
        <w:t xml:space="preserve">certain </w:t>
      </w:r>
      <w:r w:rsidR="00193644">
        <w:rPr>
          <w:rFonts w:ascii="Times New Roman" w:hAnsi="Times New Roman"/>
          <w:sz w:val="24"/>
          <w:szCs w:val="24"/>
        </w:rPr>
        <w:t>properties in connection with the latest round of the Program</w:t>
      </w:r>
      <w:r w:rsidR="00193644" w:rsidRPr="00061CD7">
        <w:rPr>
          <w:rFonts w:ascii="Times New Roman" w:hAnsi="Times New Roman"/>
          <w:sz w:val="24"/>
          <w:szCs w:val="24"/>
        </w:rPr>
        <w:t>. The Committee</w:t>
      </w:r>
      <w:r w:rsidR="008A5D9D">
        <w:rPr>
          <w:rFonts w:ascii="Times New Roman" w:hAnsi="Times New Roman"/>
          <w:sz w:val="24"/>
          <w:szCs w:val="24"/>
        </w:rPr>
        <w:t>s expect</w:t>
      </w:r>
      <w:r w:rsidR="00193644" w:rsidRPr="00061CD7">
        <w:rPr>
          <w:rFonts w:ascii="Times New Roman" w:hAnsi="Times New Roman"/>
          <w:sz w:val="24"/>
          <w:szCs w:val="24"/>
        </w:rPr>
        <w:t xml:space="preserve"> to receive testimony from representatives of the Department of Housing Preservation and Development (</w:t>
      </w:r>
      <w:r w:rsidR="00193644">
        <w:rPr>
          <w:rFonts w:ascii="Times New Roman" w:hAnsi="Times New Roman"/>
          <w:sz w:val="24"/>
          <w:szCs w:val="24"/>
        </w:rPr>
        <w:t>“</w:t>
      </w:r>
      <w:r w:rsidR="00193644" w:rsidRPr="00061CD7">
        <w:rPr>
          <w:rFonts w:ascii="Times New Roman" w:hAnsi="Times New Roman"/>
          <w:sz w:val="24"/>
          <w:szCs w:val="24"/>
        </w:rPr>
        <w:t>HPD</w:t>
      </w:r>
      <w:r w:rsidR="00193644">
        <w:rPr>
          <w:rFonts w:ascii="Times New Roman" w:hAnsi="Times New Roman"/>
          <w:sz w:val="24"/>
          <w:szCs w:val="24"/>
        </w:rPr>
        <w:t>”</w:t>
      </w:r>
      <w:r w:rsidR="007222CE">
        <w:rPr>
          <w:rFonts w:ascii="Times New Roman" w:hAnsi="Times New Roman"/>
          <w:sz w:val="24"/>
          <w:szCs w:val="24"/>
        </w:rPr>
        <w:t>)</w:t>
      </w:r>
      <w:r w:rsidR="0005298A">
        <w:rPr>
          <w:rFonts w:ascii="Times New Roman" w:hAnsi="Times New Roman"/>
          <w:sz w:val="24"/>
          <w:szCs w:val="24"/>
        </w:rPr>
        <w:t>, the Department of Finance (“DOF”)</w:t>
      </w:r>
      <w:r w:rsidR="00B73DA3">
        <w:rPr>
          <w:rFonts w:ascii="Times New Roman" w:hAnsi="Times New Roman"/>
          <w:sz w:val="24"/>
          <w:szCs w:val="24"/>
        </w:rPr>
        <w:t>,</w:t>
      </w:r>
      <w:r w:rsidR="007222CE">
        <w:rPr>
          <w:rFonts w:ascii="Times New Roman" w:hAnsi="Times New Roman"/>
          <w:sz w:val="24"/>
          <w:szCs w:val="24"/>
        </w:rPr>
        <w:t xml:space="preserve"> </w:t>
      </w:r>
      <w:r w:rsidR="00193644" w:rsidRPr="00061CD7">
        <w:rPr>
          <w:rFonts w:ascii="Times New Roman" w:hAnsi="Times New Roman"/>
          <w:sz w:val="24"/>
          <w:szCs w:val="24"/>
        </w:rPr>
        <w:t>and interested members of the public.</w:t>
      </w:r>
      <w:r w:rsidR="00193644" w:rsidRPr="00B26F5C">
        <w:rPr>
          <w:rFonts w:ascii="Times New Roman" w:hAnsi="Times New Roman"/>
          <w:sz w:val="24"/>
          <w:szCs w:val="24"/>
        </w:rPr>
        <w:t xml:space="preserve"> </w:t>
      </w:r>
    </w:p>
    <w:p w:rsidR="00193644" w:rsidRPr="00353342" w:rsidRDefault="00E40BE8" w:rsidP="00353342">
      <w:pPr>
        <w:pStyle w:val="Heading1"/>
        <w:rPr>
          <w:b/>
          <w:i w:val="0"/>
        </w:rPr>
      </w:pPr>
      <w:r>
        <w:rPr>
          <w:b/>
          <w:i w:val="0"/>
        </w:rPr>
        <w:t>BACKGROUND</w:t>
      </w:r>
    </w:p>
    <w:p w:rsidR="00193644" w:rsidRPr="00061CD7" w:rsidRDefault="00193644" w:rsidP="00193644">
      <w:pPr>
        <w:spacing w:after="0" w:line="480" w:lineRule="auto"/>
        <w:ind w:firstLine="720"/>
        <w:jc w:val="both"/>
        <w:rPr>
          <w:rFonts w:ascii="Times New Roman" w:hAnsi="Times New Roman"/>
          <w:sz w:val="24"/>
          <w:szCs w:val="24"/>
        </w:rPr>
      </w:pPr>
      <w:r w:rsidRPr="003C27E7">
        <w:rPr>
          <w:rFonts w:ascii="Times New Roman" w:hAnsi="Times New Roman"/>
          <w:sz w:val="24"/>
          <w:szCs w:val="24"/>
        </w:rPr>
        <w:t xml:space="preserve">In the </w:t>
      </w:r>
      <w:r>
        <w:rPr>
          <w:rFonts w:ascii="Times New Roman" w:hAnsi="Times New Roman"/>
          <w:sz w:val="24"/>
          <w:szCs w:val="24"/>
        </w:rPr>
        <w:t xml:space="preserve">1960s and 1970s, many New York City neighborhoods experienced impoverishment and depopulation, leading to </w:t>
      </w:r>
      <w:r w:rsidRPr="003C27E7">
        <w:rPr>
          <w:rFonts w:ascii="Times New Roman" w:hAnsi="Times New Roman"/>
          <w:sz w:val="24"/>
          <w:szCs w:val="24"/>
        </w:rPr>
        <w:t>a surge</w:t>
      </w:r>
      <w:r>
        <w:rPr>
          <w:rFonts w:ascii="Times New Roman" w:hAnsi="Times New Roman"/>
          <w:sz w:val="24"/>
          <w:szCs w:val="24"/>
        </w:rPr>
        <w:t xml:space="preserve"> of housing abandonment</w:t>
      </w:r>
      <w:r w:rsidRPr="00061CD7">
        <w:rPr>
          <w:rFonts w:ascii="Times New Roman" w:hAnsi="Times New Roman"/>
          <w:sz w:val="24"/>
          <w:szCs w:val="24"/>
        </w:rPr>
        <w:t>.</w:t>
      </w:r>
      <w:r w:rsidRPr="003C27E7">
        <w:rPr>
          <w:rStyle w:val="FootnoteReference"/>
          <w:rFonts w:ascii="Times New Roman" w:hAnsi="Times New Roman"/>
          <w:sz w:val="24"/>
          <w:szCs w:val="24"/>
        </w:rPr>
        <w:footnoteReference w:id="2"/>
      </w:r>
      <w:r>
        <w:rPr>
          <w:rFonts w:ascii="Times New Roman" w:hAnsi="Times New Roman"/>
          <w:sz w:val="24"/>
          <w:szCs w:val="24"/>
        </w:rPr>
        <w:t xml:space="preserve"> The City</w:t>
      </w:r>
      <w:r w:rsidR="00CE5693">
        <w:rPr>
          <w:rFonts w:ascii="Times New Roman" w:hAnsi="Times New Roman"/>
          <w:sz w:val="24"/>
          <w:szCs w:val="24"/>
        </w:rPr>
        <w:t xml:space="preserve"> </w:t>
      </w:r>
      <w:r w:rsidR="00B36BBA">
        <w:rPr>
          <w:rFonts w:ascii="Times New Roman" w:hAnsi="Times New Roman"/>
          <w:sz w:val="24"/>
          <w:szCs w:val="24"/>
        </w:rPr>
        <w:t>took</w:t>
      </w:r>
      <w:r>
        <w:rPr>
          <w:rFonts w:ascii="Times New Roman" w:hAnsi="Times New Roman"/>
          <w:sz w:val="24"/>
          <w:szCs w:val="24"/>
        </w:rPr>
        <w:t xml:space="preserve"> ownership of these abandoned properties, as well as other residential </w:t>
      </w:r>
      <w:r w:rsidRPr="00061CD7">
        <w:rPr>
          <w:rFonts w:ascii="Times New Roman" w:hAnsi="Times New Roman"/>
          <w:sz w:val="24"/>
          <w:szCs w:val="24"/>
        </w:rPr>
        <w:t xml:space="preserve">properties </w:t>
      </w:r>
      <w:r>
        <w:rPr>
          <w:rFonts w:ascii="Times New Roman" w:hAnsi="Times New Roman"/>
          <w:sz w:val="24"/>
          <w:szCs w:val="24"/>
        </w:rPr>
        <w:t xml:space="preserve">in financial and physical decline, </w:t>
      </w:r>
      <w:r w:rsidRPr="00061CD7">
        <w:rPr>
          <w:rFonts w:ascii="Times New Roman" w:hAnsi="Times New Roman"/>
          <w:sz w:val="24"/>
          <w:szCs w:val="24"/>
        </w:rPr>
        <w:t xml:space="preserve">through </w:t>
      </w:r>
      <w:r>
        <w:rPr>
          <w:rFonts w:ascii="Times New Roman" w:hAnsi="Times New Roman"/>
          <w:sz w:val="24"/>
          <w:szCs w:val="24"/>
        </w:rPr>
        <w:t xml:space="preserve">the mechanism of </w:t>
      </w:r>
      <w:r w:rsidRPr="00F518DA">
        <w:rPr>
          <w:rFonts w:ascii="Times New Roman" w:hAnsi="Times New Roman"/>
          <w:i/>
          <w:sz w:val="24"/>
          <w:szCs w:val="24"/>
        </w:rPr>
        <w:t>in rem</w:t>
      </w:r>
      <w:r w:rsidRPr="00253E55">
        <w:rPr>
          <w:rFonts w:ascii="Times New Roman" w:hAnsi="Times New Roman"/>
          <w:i/>
          <w:sz w:val="24"/>
          <w:szCs w:val="24"/>
        </w:rPr>
        <w:t xml:space="preserve"> </w:t>
      </w:r>
      <w:r>
        <w:rPr>
          <w:rFonts w:ascii="Times New Roman" w:hAnsi="Times New Roman"/>
          <w:sz w:val="24"/>
          <w:szCs w:val="24"/>
        </w:rPr>
        <w:t>foreclosure.</w:t>
      </w:r>
      <w:r w:rsidRPr="003C27E7">
        <w:rPr>
          <w:rStyle w:val="FootnoteReference"/>
          <w:rFonts w:ascii="Times New Roman" w:hAnsi="Times New Roman"/>
          <w:sz w:val="24"/>
          <w:szCs w:val="24"/>
        </w:rPr>
        <w:footnoteReference w:id="3"/>
      </w:r>
      <w:r>
        <w:rPr>
          <w:rFonts w:ascii="Times New Roman" w:hAnsi="Times New Roman"/>
          <w:sz w:val="24"/>
          <w:szCs w:val="24"/>
        </w:rPr>
        <w:t xml:space="preserve"> </w:t>
      </w:r>
      <w:r w:rsidRPr="00061CD7">
        <w:rPr>
          <w:rFonts w:ascii="Times New Roman" w:hAnsi="Times New Roman"/>
          <w:sz w:val="24"/>
          <w:szCs w:val="24"/>
        </w:rPr>
        <w:t xml:space="preserve">By 1994, the City owned and managed </w:t>
      </w:r>
      <w:r w:rsidR="007B4E1B">
        <w:rPr>
          <w:rFonts w:ascii="Times New Roman" w:hAnsi="Times New Roman"/>
          <w:sz w:val="24"/>
          <w:szCs w:val="24"/>
        </w:rPr>
        <w:t xml:space="preserve">nearly 5,500 </w:t>
      </w:r>
      <w:r w:rsidRPr="00061CD7">
        <w:rPr>
          <w:rFonts w:ascii="Times New Roman" w:hAnsi="Times New Roman"/>
          <w:sz w:val="24"/>
          <w:szCs w:val="24"/>
        </w:rPr>
        <w:t>buildings, most of which were dilapidated</w:t>
      </w:r>
      <w:r w:rsidR="00C445CE">
        <w:rPr>
          <w:rFonts w:ascii="Times New Roman" w:hAnsi="Times New Roman"/>
          <w:sz w:val="24"/>
          <w:szCs w:val="24"/>
        </w:rPr>
        <w:t>,</w:t>
      </w:r>
      <w:r w:rsidRPr="00061CD7">
        <w:rPr>
          <w:rFonts w:ascii="Times New Roman" w:hAnsi="Times New Roman"/>
          <w:sz w:val="24"/>
          <w:szCs w:val="24"/>
        </w:rPr>
        <w:t xml:space="preserve"> multi-family housing</w:t>
      </w:r>
      <w:r>
        <w:rPr>
          <w:rFonts w:ascii="Times New Roman" w:hAnsi="Times New Roman"/>
          <w:sz w:val="24"/>
          <w:szCs w:val="24"/>
        </w:rPr>
        <w:t xml:space="preserve"> units</w:t>
      </w:r>
      <w:r w:rsidRPr="00061CD7">
        <w:rPr>
          <w:rFonts w:ascii="Times New Roman" w:hAnsi="Times New Roman"/>
          <w:sz w:val="24"/>
          <w:szCs w:val="24"/>
        </w:rPr>
        <w:t>.</w:t>
      </w:r>
      <w:r w:rsidR="002E6CB9">
        <w:rPr>
          <w:rStyle w:val="FootnoteReference"/>
          <w:rFonts w:ascii="Times New Roman" w:hAnsi="Times New Roman"/>
          <w:sz w:val="24"/>
          <w:szCs w:val="24"/>
        </w:rPr>
        <w:footnoteReference w:id="4"/>
      </w:r>
      <w:r>
        <w:rPr>
          <w:rFonts w:ascii="Times New Roman" w:hAnsi="Times New Roman"/>
          <w:sz w:val="24"/>
          <w:szCs w:val="24"/>
        </w:rPr>
        <w:t xml:space="preserve"> </w:t>
      </w:r>
      <w:r w:rsidRPr="00061CD7">
        <w:rPr>
          <w:rFonts w:ascii="Times New Roman" w:hAnsi="Times New Roman"/>
          <w:sz w:val="24"/>
          <w:szCs w:val="24"/>
        </w:rPr>
        <w:t>Despite its efforts, the City lacked sufficien</w:t>
      </w:r>
      <w:r>
        <w:rPr>
          <w:rFonts w:ascii="Times New Roman" w:hAnsi="Times New Roman"/>
          <w:sz w:val="24"/>
          <w:szCs w:val="24"/>
        </w:rPr>
        <w:t xml:space="preserve">t capital resources to address the needs of </w:t>
      </w:r>
      <w:r w:rsidR="00C445CE">
        <w:rPr>
          <w:rFonts w:ascii="Times New Roman" w:hAnsi="Times New Roman"/>
          <w:sz w:val="24"/>
          <w:szCs w:val="24"/>
        </w:rPr>
        <w:t>these</w:t>
      </w:r>
      <w:r>
        <w:rPr>
          <w:rFonts w:ascii="Times New Roman" w:hAnsi="Times New Roman"/>
          <w:sz w:val="24"/>
          <w:szCs w:val="24"/>
        </w:rPr>
        <w:t xml:space="preserve"> buildings and their residents.</w:t>
      </w:r>
      <w:r w:rsidRPr="003C27E7">
        <w:rPr>
          <w:rStyle w:val="FootnoteReference"/>
          <w:rFonts w:ascii="Times New Roman" w:hAnsi="Times New Roman"/>
          <w:sz w:val="24"/>
          <w:szCs w:val="24"/>
        </w:rPr>
        <w:footnoteReference w:id="5"/>
      </w:r>
      <w:r>
        <w:rPr>
          <w:rFonts w:ascii="Times New Roman" w:hAnsi="Times New Roman"/>
          <w:sz w:val="24"/>
          <w:szCs w:val="24"/>
        </w:rPr>
        <w:t xml:space="preserve"> </w:t>
      </w:r>
      <w:r w:rsidRPr="00B368F7">
        <w:rPr>
          <w:rStyle w:val="FootnoteReference"/>
          <w:rFonts w:ascii="Times New Roman" w:hAnsi="Times New Roman"/>
          <w:sz w:val="24"/>
          <w:szCs w:val="24"/>
        </w:rPr>
        <w:t xml:space="preserve"> </w:t>
      </w:r>
    </w:p>
    <w:p w:rsidR="00B35A2C" w:rsidRDefault="00193644" w:rsidP="00193644">
      <w:pPr>
        <w:spacing w:after="0" w:line="480" w:lineRule="auto"/>
        <w:ind w:firstLine="720"/>
        <w:jc w:val="both"/>
        <w:rPr>
          <w:rFonts w:ascii="Times New Roman" w:hAnsi="Times New Roman"/>
          <w:sz w:val="24"/>
          <w:szCs w:val="24"/>
        </w:rPr>
      </w:pPr>
      <w:r>
        <w:rPr>
          <w:rFonts w:ascii="Times New Roman" w:hAnsi="Times New Roman"/>
          <w:sz w:val="24"/>
          <w:szCs w:val="24"/>
        </w:rPr>
        <w:t xml:space="preserve">In response, </w:t>
      </w:r>
      <w:r w:rsidR="0047261A">
        <w:rPr>
          <w:rFonts w:ascii="Times New Roman" w:hAnsi="Times New Roman"/>
          <w:sz w:val="24"/>
          <w:szCs w:val="24"/>
        </w:rPr>
        <w:t xml:space="preserve">the </w:t>
      </w:r>
      <w:r w:rsidR="00560533">
        <w:rPr>
          <w:rFonts w:ascii="Times New Roman" w:hAnsi="Times New Roman"/>
          <w:sz w:val="24"/>
          <w:szCs w:val="24"/>
        </w:rPr>
        <w:t xml:space="preserve">New York City </w:t>
      </w:r>
      <w:r w:rsidR="0047261A">
        <w:rPr>
          <w:rFonts w:ascii="Times New Roman" w:hAnsi="Times New Roman"/>
          <w:sz w:val="24"/>
          <w:szCs w:val="24"/>
        </w:rPr>
        <w:t>Council</w:t>
      </w:r>
      <w:r w:rsidR="00992FA2">
        <w:rPr>
          <w:rFonts w:ascii="Times New Roman" w:hAnsi="Times New Roman"/>
          <w:sz w:val="24"/>
          <w:szCs w:val="24"/>
        </w:rPr>
        <w:t xml:space="preserve"> </w:t>
      </w:r>
      <w:r w:rsidR="00560533">
        <w:rPr>
          <w:rFonts w:ascii="Times New Roman" w:hAnsi="Times New Roman"/>
          <w:sz w:val="24"/>
          <w:szCs w:val="24"/>
        </w:rPr>
        <w:t xml:space="preserve">(the “Council”) </w:t>
      </w:r>
      <w:r w:rsidR="002B3708">
        <w:rPr>
          <w:rFonts w:ascii="Times New Roman" w:hAnsi="Times New Roman"/>
          <w:sz w:val="24"/>
          <w:szCs w:val="24"/>
        </w:rPr>
        <w:t xml:space="preserve">and the Mayoral Administration </w:t>
      </w:r>
      <w:r w:rsidR="00992FA2">
        <w:rPr>
          <w:rFonts w:ascii="Times New Roman" w:hAnsi="Times New Roman"/>
          <w:sz w:val="24"/>
          <w:szCs w:val="24"/>
        </w:rPr>
        <w:t xml:space="preserve">created TPT with the </w:t>
      </w:r>
      <w:r w:rsidR="002B3708">
        <w:rPr>
          <w:rFonts w:ascii="Times New Roman" w:hAnsi="Times New Roman"/>
          <w:sz w:val="24"/>
          <w:szCs w:val="24"/>
        </w:rPr>
        <w:t xml:space="preserve">enactment </w:t>
      </w:r>
      <w:r w:rsidR="00B35A2C">
        <w:rPr>
          <w:rFonts w:ascii="Times New Roman" w:hAnsi="Times New Roman"/>
          <w:sz w:val="24"/>
          <w:szCs w:val="24"/>
        </w:rPr>
        <w:t>of Local Law 37 in 1996</w:t>
      </w:r>
      <w:r w:rsidR="0005298A">
        <w:rPr>
          <w:rFonts w:ascii="Times New Roman" w:hAnsi="Times New Roman"/>
          <w:sz w:val="24"/>
          <w:szCs w:val="24"/>
        </w:rPr>
        <w:t xml:space="preserve"> (“Local Law 37”)</w:t>
      </w:r>
      <w:r w:rsidR="003256EE">
        <w:rPr>
          <w:rFonts w:ascii="Times New Roman" w:hAnsi="Times New Roman"/>
          <w:sz w:val="24"/>
          <w:szCs w:val="24"/>
        </w:rPr>
        <w:t>,</w:t>
      </w:r>
      <w:r w:rsidR="00992FA2">
        <w:rPr>
          <w:rFonts w:ascii="Times New Roman" w:hAnsi="Times New Roman"/>
          <w:sz w:val="24"/>
          <w:szCs w:val="24"/>
        </w:rPr>
        <w:t xml:space="preserve"> which granted </w:t>
      </w:r>
      <w:r w:rsidR="0047261A">
        <w:rPr>
          <w:rFonts w:ascii="Times New Roman" w:hAnsi="Times New Roman"/>
          <w:sz w:val="24"/>
          <w:szCs w:val="24"/>
        </w:rPr>
        <w:t xml:space="preserve">the </w:t>
      </w:r>
      <w:r>
        <w:rPr>
          <w:rFonts w:ascii="Times New Roman" w:hAnsi="Times New Roman"/>
          <w:sz w:val="24"/>
          <w:szCs w:val="24"/>
        </w:rPr>
        <w:t xml:space="preserve">City </w:t>
      </w:r>
      <w:r w:rsidR="0047261A">
        <w:rPr>
          <w:rFonts w:ascii="Times New Roman" w:hAnsi="Times New Roman"/>
          <w:sz w:val="24"/>
          <w:szCs w:val="24"/>
        </w:rPr>
        <w:t xml:space="preserve">the authority </w:t>
      </w:r>
      <w:r>
        <w:rPr>
          <w:rFonts w:ascii="Times New Roman" w:hAnsi="Times New Roman"/>
          <w:sz w:val="24"/>
          <w:szCs w:val="24"/>
        </w:rPr>
        <w:t xml:space="preserve">to convey </w:t>
      </w:r>
      <w:r w:rsidR="003B7AAF">
        <w:rPr>
          <w:rFonts w:ascii="Times New Roman" w:hAnsi="Times New Roman"/>
          <w:sz w:val="24"/>
          <w:szCs w:val="24"/>
        </w:rPr>
        <w:t>tax delinquent</w:t>
      </w:r>
      <w:r>
        <w:rPr>
          <w:rFonts w:ascii="Times New Roman" w:hAnsi="Times New Roman"/>
          <w:sz w:val="24"/>
          <w:szCs w:val="24"/>
        </w:rPr>
        <w:t xml:space="preserve"> residential properties directly to </w:t>
      </w:r>
      <w:r w:rsidR="00F518DA">
        <w:rPr>
          <w:rFonts w:ascii="Times New Roman" w:hAnsi="Times New Roman"/>
          <w:sz w:val="24"/>
          <w:szCs w:val="24"/>
        </w:rPr>
        <w:t xml:space="preserve">a </w:t>
      </w:r>
      <w:r>
        <w:rPr>
          <w:rFonts w:ascii="Times New Roman" w:hAnsi="Times New Roman"/>
          <w:sz w:val="24"/>
          <w:szCs w:val="24"/>
        </w:rPr>
        <w:t>third part</w:t>
      </w:r>
      <w:r w:rsidR="00F518DA">
        <w:rPr>
          <w:rFonts w:ascii="Times New Roman" w:hAnsi="Times New Roman"/>
          <w:sz w:val="24"/>
          <w:szCs w:val="24"/>
        </w:rPr>
        <w:t>y</w:t>
      </w:r>
      <w:r>
        <w:rPr>
          <w:rFonts w:ascii="Times New Roman" w:hAnsi="Times New Roman"/>
          <w:sz w:val="24"/>
          <w:szCs w:val="24"/>
        </w:rPr>
        <w:t xml:space="preserve"> without the City itself taking ownership</w:t>
      </w:r>
      <w:r w:rsidR="0047261A">
        <w:rPr>
          <w:rFonts w:ascii="Times New Roman" w:hAnsi="Times New Roman"/>
          <w:sz w:val="24"/>
          <w:szCs w:val="24"/>
        </w:rPr>
        <w:t xml:space="preserve"> and managing</w:t>
      </w:r>
      <w:r w:rsidR="00992FA2">
        <w:rPr>
          <w:rFonts w:ascii="Times New Roman" w:hAnsi="Times New Roman"/>
          <w:sz w:val="24"/>
          <w:szCs w:val="24"/>
        </w:rPr>
        <w:t xml:space="preserve"> </w:t>
      </w:r>
      <w:r w:rsidR="009C691E">
        <w:rPr>
          <w:rFonts w:ascii="Times New Roman" w:hAnsi="Times New Roman"/>
          <w:sz w:val="24"/>
          <w:szCs w:val="24"/>
        </w:rPr>
        <w:t xml:space="preserve">the </w:t>
      </w:r>
      <w:r w:rsidR="00992FA2">
        <w:rPr>
          <w:rFonts w:ascii="Times New Roman" w:hAnsi="Times New Roman"/>
          <w:sz w:val="24"/>
          <w:szCs w:val="24"/>
        </w:rPr>
        <w:t>foreclosed-upon</w:t>
      </w:r>
      <w:r w:rsidR="0047261A">
        <w:rPr>
          <w:rFonts w:ascii="Times New Roman" w:hAnsi="Times New Roman"/>
          <w:sz w:val="24"/>
          <w:szCs w:val="24"/>
        </w:rPr>
        <w:t xml:space="preserve"> </w:t>
      </w:r>
      <w:r w:rsidR="0047261A" w:rsidRPr="00E8554E">
        <w:rPr>
          <w:rFonts w:ascii="Times New Roman" w:hAnsi="Times New Roman"/>
          <w:color w:val="222222"/>
          <w:sz w:val="24"/>
          <w:szCs w:val="24"/>
          <w:shd w:val="clear" w:color="auto" w:fill="FFFFFF"/>
        </w:rPr>
        <w:t>properties</w:t>
      </w:r>
      <w:r>
        <w:rPr>
          <w:rFonts w:ascii="Times New Roman" w:hAnsi="Times New Roman"/>
          <w:sz w:val="24"/>
          <w:szCs w:val="24"/>
        </w:rPr>
        <w:t>.</w:t>
      </w:r>
      <w:r w:rsidRPr="007578A5">
        <w:rPr>
          <w:rFonts w:ascii="Times New Roman" w:hAnsi="Times New Roman"/>
          <w:color w:val="222222"/>
          <w:sz w:val="24"/>
          <w:szCs w:val="24"/>
          <w:shd w:val="clear" w:color="auto" w:fill="FFFFFF"/>
          <w:vertAlign w:val="superscript"/>
        </w:rPr>
        <w:footnoteReference w:id="6"/>
      </w:r>
      <w:r w:rsidR="003256EE">
        <w:rPr>
          <w:rFonts w:ascii="Times New Roman" w:hAnsi="Times New Roman"/>
          <w:sz w:val="24"/>
          <w:szCs w:val="24"/>
        </w:rPr>
        <w:t xml:space="preserve"> </w:t>
      </w:r>
      <w:r w:rsidR="003B7AAF">
        <w:rPr>
          <w:rFonts w:ascii="Times New Roman" w:hAnsi="Times New Roman"/>
          <w:sz w:val="24"/>
          <w:szCs w:val="24"/>
        </w:rPr>
        <w:t xml:space="preserve">Tax delinquent properties are </w:t>
      </w:r>
      <w:r w:rsidR="009A46D0">
        <w:rPr>
          <w:rFonts w:ascii="Times New Roman" w:hAnsi="Times New Roman"/>
          <w:sz w:val="24"/>
          <w:szCs w:val="24"/>
        </w:rPr>
        <w:t xml:space="preserve">those </w:t>
      </w:r>
      <w:r w:rsidR="003B7AAF">
        <w:rPr>
          <w:rFonts w:ascii="Times New Roman" w:hAnsi="Times New Roman"/>
          <w:sz w:val="24"/>
          <w:szCs w:val="24"/>
        </w:rPr>
        <w:t>proper</w:t>
      </w:r>
      <w:r w:rsidR="003401FA">
        <w:rPr>
          <w:rFonts w:ascii="Times New Roman" w:hAnsi="Times New Roman"/>
          <w:sz w:val="24"/>
          <w:szCs w:val="24"/>
        </w:rPr>
        <w:t xml:space="preserve">ties that have accrued taxes, </w:t>
      </w:r>
      <w:r w:rsidR="003B7AAF">
        <w:rPr>
          <w:rFonts w:ascii="Times New Roman" w:hAnsi="Times New Roman"/>
          <w:sz w:val="24"/>
          <w:szCs w:val="24"/>
        </w:rPr>
        <w:t>assessments</w:t>
      </w:r>
      <w:r w:rsidR="009002E1">
        <w:rPr>
          <w:rFonts w:ascii="Times New Roman" w:hAnsi="Times New Roman"/>
          <w:sz w:val="24"/>
          <w:szCs w:val="24"/>
        </w:rPr>
        <w:t>,</w:t>
      </w:r>
      <w:r w:rsidR="003401FA">
        <w:rPr>
          <w:rFonts w:ascii="Times New Roman" w:hAnsi="Times New Roman"/>
          <w:sz w:val="24"/>
          <w:szCs w:val="24"/>
        </w:rPr>
        <w:t xml:space="preserve"> or </w:t>
      </w:r>
      <w:r w:rsidR="0063225E">
        <w:rPr>
          <w:rFonts w:ascii="Times New Roman" w:hAnsi="Times New Roman"/>
          <w:sz w:val="24"/>
          <w:szCs w:val="24"/>
        </w:rPr>
        <w:t>other</w:t>
      </w:r>
      <w:r w:rsidR="003401FA">
        <w:rPr>
          <w:rFonts w:ascii="Times New Roman" w:hAnsi="Times New Roman"/>
          <w:sz w:val="24"/>
          <w:szCs w:val="24"/>
        </w:rPr>
        <w:t xml:space="preserve"> </w:t>
      </w:r>
      <w:r w:rsidR="009002E1">
        <w:rPr>
          <w:rFonts w:ascii="Times New Roman" w:hAnsi="Times New Roman"/>
          <w:sz w:val="24"/>
          <w:szCs w:val="24"/>
        </w:rPr>
        <w:t>charges, which</w:t>
      </w:r>
      <w:r w:rsidR="003B7AAF">
        <w:rPr>
          <w:rFonts w:ascii="Times New Roman" w:hAnsi="Times New Roman"/>
          <w:sz w:val="24"/>
          <w:szCs w:val="24"/>
        </w:rPr>
        <w:t xml:space="preserve"> have </w:t>
      </w:r>
      <w:r w:rsidR="000941DC">
        <w:rPr>
          <w:rFonts w:ascii="Times New Roman" w:hAnsi="Times New Roman"/>
          <w:sz w:val="24"/>
          <w:szCs w:val="24"/>
        </w:rPr>
        <w:t>subsequently become lien</w:t>
      </w:r>
      <w:r w:rsidR="003B7AAF">
        <w:rPr>
          <w:rFonts w:ascii="Times New Roman" w:hAnsi="Times New Roman"/>
          <w:sz w:val="24"/>
          <w:szCs w:val="24"/>
        </w:rPr>
        <w:t>s</w:t>
      </w:r>
      <w:r w:rsidR="000941DC">
        <w:rPr>
          <w:rFonts w:ascii="Times New Roman" w:hAnsi="Times New Roman"/>
          <w:sz w:val="24"/>
          <w:szCs w:val="24"/>
        </w:rPr>
        <w:t xml:space="preserve"> on the property</w:t>
      </w:r>
      <w:r w:rsidR="003B7AAF">
        <w:rPr>
          <w:rFonts w:ascii="Times New Roman" w:hAnsi="Times New Roman"/>
          <w:sz w:val="24"/>
          <w:szCs w:val="24"/>
        </w:rPr>
        <w:t>.</w:t>
      </w:r>
      <w:r w:rsidR="003401FA">
        <w:rPr>
          <w:rStyle w:val="FootnoteReference"/>
          <w:rFonts w:ascii="Times New Roman" w:hAnsi="Times New Roman"/>
          <w:sz w:val="24"/>
          <w:szCs w:val="24"/>
        </w:rPr>
        <w:footnoteReference w:id="7"/>
      </w:r>
      <w:r w:rsidR="003B7AAF">
        <w:rPr>
          <w:rFonts w:ascii="Times New Roman" w:hAnsi="Times New Roman"/>
          <w:sz w:val="24"/>
          <w:szCs w:val="24"/>
        </w:rPr>
        <w:t xml:space="preserve"> </w:t>
      </w:r>
      <w:r w:rsidR="0063225E">
        <w:rPr>
          <w:rFonts w:ascii="Times New Roman" w:hAnsi="Times New Roman"/>
          <w:sz w:val="24"/>
          <w:szCs w:val="24"/>
        </w:rPr>
        <w:t>Tax delinquent p</w:t>
      </w:r>
      <w:r w:rsidR="00B35A2C">
        <w:rPr>
          <w:rFonts w:ascii="Times New Roman" w:hAnsi="Times New Roman"/>
          <w:sz w:val="24"/>
          <w:szCs w:val="24"/>
        </w:rPr>
        <w:t xml:space="preserve">roperties </w:t>
      </w:r>
      <w:r w:rsidR="005D6F34">
        <w:rPr>
          <w:rFonts w:ascii="Times New Roman" w:hAnsi="Times New Roman"/>
          <w:sz w:val="24"/>
          <w:szCs w:val="24"/>
        </w:rPr>
        <w:t xml:space="preserve">foreclosed upon through </w:t>
      </w:r>
      <w:r w:rsidR="00B35A2C">
        <w:rPr>
          <w:rFonts w:ascii="Times New Roman" w:hAnsi="Times New Roman"/>
          <w:sz w:val="24"/>
          <w:szCs w:val="24"/>
        </w:rPr>
        <w:t xml:space="preserve">TPT are </w:t>
      </w:r>
      <w:r w:rsidR="00B35A2C" w:rsidRPr="00E8554E">
        <w:rPr>
          <w:rFonts w:ascii="Times New Roman" w:hAnsi="Times New Roman"/>
          <w:color w:val="222222"/>
          <w:sz w:val="24"/>
          <w:szCs w:val="24"/>
          <w:shd w:val="clear" w:color="auto" w:fill="FFFFFF"/>
        </w:rPr>
        <w:t>transferred</w:t>
      </w:r>
      <w:r w:rsidR="009002E1">
        <w:rPr>
          <w:rFonts w:ascii="Times New Roman" w:hAnsi="Times New Roman"/>
          <w:color w:val="222222"/>
          <w:sz w:val="24"/>
          <w:szCs w:val="24"/>
          <w:shd w:val="clear" w:color="auto" w:fill="FFFFFF"/>
        </w:rPr>
        <w:t xml:space="preserve"> to third </w:t>
      </w:r>
      <w:r w:rsidR="00B35A2C">
        <w:rPr>
          <w:rFonts w:ascii="Times New Roman" w:hAnsi="Times New Roman"/>
          <w:color w:val="222222"/>
          <w:sz w:val="24"/>
          <w:szCs w:val="24"/>
          <w:shd w:val="clear" w:color="auto" w:fill="FFFFFF"/>
        </w:rPr>
        <w:t xml:space="preserve">party </w:t>
      </w:r>
      <w:r w:rsidR="00B35A2C" w:rsidRPr="00E8554E">
        <w:rPr>
          <w:rFonts w:ascii="Times New Roman" w:hAnsi="Times New Roman"/>
          <w:color w:val="222222"/>
          <w:sz w:val="24"/>
          <w:szCs w:val="24"/>
          <w:shd w:val="clear" w:color="auto" w:fill="FFFFFF"/>
        </w:rPr>
        <w:t xml:space="preserve">owners </w:t>
      </w:r>
      <w:r w:rsidR="00C445CE">
        <w:rPr>
          <w:rFonts w:ascii="Times New Roman" w:hAnsi="Times New Roman"/>
          <w:color w:val="222222"/>
          <w:sz w:val="24"/>
          <w:szCs w:val="24"/>
          <w:shd w:val="clear" w:color="auto" w:fill="FFFFFF"/>
        </w:rPr>
        <w:t>for rehabilitation and management</w:t>
      </w:r>
      <w:r w:rsidR="005823B8">
        <w:rPr>
          <w:rFonts w:ascii="Times New Roman" w:hAnsi="Times New Roman"/>
          <w:color w:val="222222"/>
          <w:sz w:val="24"/>
          <w:szCs w:val="24"/>
          <w:shd w:val="clear" w:color="auto" w:fill="FFFFFF"/>
        </w:rPr>
        <w:t xml:space="preserve"> to be added to </w:t>
      </w:r>
      <w:r w:rsidR="00B35A2C" w:rsidRPr="00E8554E">
        <w:rPr>
          <w:rFonts w:ascii="Times New Roman" w:hAnsi="Times New Roman"/>
          <w:color w:val="222222"/>
          <w:sz w:val="24"/>
          <w:szCs w:val="24"/>
          <w:shd w:val="clear" w:color="auto" w:fill="FFFFFF"/>
        </w:rPr>
        <w:t>the City’s affordable housing stock.</w:t>
      </w:r>
      <w:r w:rsidR="00B35A2C" w:rsidRPr="00E8554E">
        <w:rPr>
          <w:rStyle w:val="FootnoteReference"/>
          <w:rFonts w:ascii="Times New Roman" w:hAnsi="Times New Roman"/>
          <w:color w:val="222222"/>
          <w:sz w:val="24"/>
          <w:szCs w:val="24"/>
          <w:shd w:val="clear" w:color="auto" w:fill="FFFFFF"/>
        </w:rPr>
        <w:footnoteReference w:id="8"/>
      </w:r>
    </w:p>
    <w:p w:rsidR="00193644" w:rsidRDefault="00193644" w:rsidP="009B6ADC">
      <w:pPr>
        <w:spacing w:after="0" w:line="480" w:lineRule="auto"/>
        <w:ind w:firstLine="720"/>
        <w:jc w:val="both"/>
        <w:rPr>
          <w:rFonts w:ascii="Times New Roman" w:hAnsi="Times New Roman"/>
          <w:sz w:val="24"/>
          <w:szCs w:val="24"/>
        </w:rPr>
      </w:pPr>
      <w:r w:rsidRPr="00061CD7">
        <w:rPr>
          <w:rFonts w:ascii="Times New Roman" w:hAnsi="Times New Roman"/>
          <w:sz w:val="24"/>
          <w:szCs w:val="24"/>
        </w:rPr>
        <w:t>Since th</w:t>
      </w:r>
      <w:r w:rsidR="0005298A">
        <w:rPr>
          <w:rFonts w:ascii="Times New Roman" w:hAnsi="Times New Roman"/>
          <w:sz w:val="24"/>
          <w:szCs w:val="24"/>
        </w:rPr>
        <w:t xml:space="preserve">e </w:t>
      </w:r>
      <w:r w:rsidR="00F17EDB">
        <w:rPr>
          <w:rFonts w:ascii="Times New Roman" w:hAnsi="Times New Roman"/>
          <w:sz w:val="24"/>
          <w:szCs w:val="24"/>
        </w:rPr>
        <w:t xml:space="preserve">enactment of </w:t>
      </w:r>
      <w:r w:rsidR="0005298A">
        <w:rPr>
          <w:rFonts w:ascii="Times New Roman" w:hAnsi="Times New Roman"/>
          <w:sz w:val="24"/>
          <w:szCs w:val="24"/>
        </w:rPr>
        <w:t>Local Law 37</w:t>
      </w:r>
      <w:r w:rsidRPr="00061CD7">
        <w:rPr>
          <w:rFonts w:ascii="Times New Roman" w:hAnsi="Times New Roman"/>
          <w:sz w:val="24"/>
          <w:szCs w:val="24"/>
        </w:rPr>
        <w:t xml:space="preserve">, the City has </w:t>
      </w:r>
      <w:r w:rsidR="0005298A">
        <w:rPr>
          <w:rFonts w:ascii="Times New Roman" w:hAnsi="Times New Roman"/>
          <w:sz w:val="24"/>
          <w:szCs w:val="24"/>
        </w:rPr>
        <w:t>completed</w:t>
      </w:r>
      <w:r w:rsidR="0005298A" w:rsidRPr="00061CD7">
        <w:rPr>
          <w:rFonts w:ascii="Times New Roman" w:hAnsi="Times New Roman"/>
          <w:sz w:val="24"/>
          <w:szCs w:val="24"/>
        </w:rPr>
        <w:t xml:space="preserve"> </w:t>
      </w:r>
      <w:r w:rsidRPr="00061CD7">
        <w:rPr>
          <w:rFonts w:ascii="Times New Roman" w:hAnsi="Times New Roman"/>
          <w:sz w:val="24"/>
          <w:szCs w:val="24"/>
        </w:rPr>
        <w:t xml:space="preserve">ten </w:t>
      </w:r>
      <w:r w:rsidR="00C445CE">
        <w:rPr>
          <w:rFonts w:ascii="Times New Roman" w:hAnsi="Times New Roman"/>
          <w:sz w:val="24"/>
          <w:szCs w:val="24"/>
        </w:rPr>
        <w:t xml:space="preserve">TPT </w:t>
      </w:r>
      <w:r w:rsidRPr="00061CD7">
        <w:rPr>
          <w:rFonts w:ascii="Times New Roman" w:hAnsi="Times New Roman"/>
          <w:sz w:val="24"/>
          <w:szCs w:val="24"/>
        </w:rPr>
        <w:t>rounds</w:t>
      </w:r>
      <w:r w:rsidR="0005298A">
        <w:rPr>
          <w:rFonts w:ascii="Times New Roman" w:hAnsi="Times New Roman"/>
          <w:sz w:val="24"/>
          <w:szCs w:val="24"/>
        </w:rPr>
        <w:t xml:space="preserve">, </w:t>
      </w:r>
      <w:r w:rsidR="00881D2B">
        <w:rPr>
          <w:rFonts w:ascii="Times New Roman" w:hAnsi="Times New Roman"/>
          <w:sz w:val="24"/>
          <w:szCs w:val="24"/>
        </w:rPr>
        <w:t xml:space="preserve">including </w:t>
      </w:r>
      <w:r w:rsidR="0005298A">
        <w:rPr>
          <w:rFonts w:ascii="Times New Roman" w:hAnsi="Times New Roman"/>
          <w:sz w:val="24"/>
          <w:szCs w:val="24"/>
        </w:rPr>
        <w:t>the most recent round</w:t>
      </w:r>
      <w:r w:rsidR="00C445CE">
        <w:rPr>
          <w:rFonts w:ascii="Times New Roman" w:hAnsi="Times New Roman"/>
          <w:sz w:val="24"/>
          <w:szCs w:val="24"/>
        </w:rPr>
        <w:t xml:space="preserve">, </w:t>
      </w:r>
      <w:r w:rsidR="00881D2B">
        <w:rPr>
          <w:rFonts w:ascii="Times New Roman" w:hAnsi="Times New Roman"/>
          <w:sz w:val="24"/>
          <w:szCs w:val="24"/>
        </w:rPr>
        <w:t xml:space="preserve">which ended </w:t>
      </w:r>
      <w:r w:rsidR="00B73DA3">
        <w:rPr>
          <w:rFonts w:ascii="Times New Roman" w:hAnsi="Times New Roman"/>
          <w:sz w:val="24"/>
          <w:szCs w:val="24"/>
        </w:rPr>
        <w:t>in 2018</w:t>
      </w:r>
      <w:r w:rsidR="006051AE">
        <w:rPr>
          <w:rFonts w:ascii="Times New Roman" w:hAnsi="Times New Roman"/>
          <w:sz w:val="24"/>
          <w:szCs w:val="24"/>
        </w:rPr>
        <w:t xml:space="preserve"> (“Round X”).</w:t>
      </w:r>
      <w:r w:rsidR="00EC1F19">
        <w:rPr>
          <w:rFonts w:ascii="Times New Roman" w:hAnsi="Times New Roman"/>
          <w:sz w:val="24"/>
          <w:szCs w:val="24"/>
        </w:rPr>
        <w:t xml:space="preserve">  </w:t>
      </w:r>
      <w:r w:rsidR="00B36BBA">
        <w:rPr>
          <w:rFonts w:ascii="Times New Roman" w:hAnsi="Times New Roman"/>
          <w:sz w:val="24"/>
          <w:szCs w:val="24"/>
        </w:rPr>
        <w:t>R</w:t>
      </w:r>
      <w:r w:rsidR="00EC1F19">
        <w:rPr>
          <w:rFonts w:ascii="Times New Roman" w:hAnsi="Times New Roman"/>
          <w:sz w:val="24"/>
          <w:szCs w:val="24"/>
        </w:rPr>
        <w:t xml:space="preserve">ound </w:t>
      </w:r>
      <w:r w:rsidR="00B36BBA">
        <w:rPr>
          <w:rFonts w:ascii="Times New Roman" w:hAnsi="Times New Roman"/>
          <w:sz w:val="24"/>
          <w:szCs w:val="24"/>
        </w:rPr>
        <w:t xml:space="preserve">X </w:t>
      </w:r>
      <w:r w:rsidR="00251420">
        <w:rPr>
          <w:rFonts w:ascii="Times New Roman" w:hAnsi="Times New Roman"/>
          <w:sz w:val="24"/>
          <w:szCs w:val="24"/>
        </w:rPr>
        <w:t xml:space="preserve">has </w:t>
      </w:r>
      <w:r w:rsidR="00EC1F19">
        <w:rPr>
          <w:rFonts w:ascii="Times New Roman" w:hAnsi="Times New Roman"/>
          <w:sz w:val="24"/>
          <w:szCs w:val="24"/>
        </w:rPr>
        <w:t>g</w:t>
      </w:r>
      <w:r w:rsidR="00744770">
        <w:rPr>
          <w:rFonts w:ascii="Times New Roman" w:hAnsi="Times New Roman"/>
          <w:sz w:val="24"/>
          <w:szCs w:val="24"/>
        </w:rPr>
        <w:t xml:space="preserve">enerated </w:t>
      </w:r>
      <w:r w:rsidR="001775EC">
        <w:rPr>
          <w:rFonts w:ascii="Times New Roman" w:hAnsi="Times New Roman"/>
          <w:sz w:val="24"/>
          <w:szCs w:val="24"/>
        </w:rPr>
        <w:t>significant attention from</w:t>
      </w:r>
      <w:r w:rsidR="00484073">
        <w:rPr>
          <w:rFonts w:ascii="Times New Roman" w:hAnsi="Times New Roman"/>
          <w:sz w:val="24"/>
          <w:szCs w:val="24"/>
        </w:rPr>
        <w:t xml:space="preserve"> the press and </w:t>
      </w:r>
      <w:r w:rsidR="00744770">
        <w:rPr>
          <w:rFonts w:ascii="Times New Roman" w:hAnsi="Times New Roman"/>
          <w:sz w:val="24"/>
          <w:szCs w:val="24"/>
        </w:rPr>
        <w:t xml:space="preserve">from </w:t>
      </w:r>
      <w:r w:rsidR="00B35A2C">
        <w:rPr>
          <w:rFonts w:ascii="Times New Roman" w:hAnsi="Times New Roman"/>
          <w:sz w:val="24"/>
          <w:szCs w:val="24"/>
        </w:rPr>
        <w:t>elected officials</w:t>
      </w:r>
      <w:r w:rsidR="00D67B31">
        <w:rPr>
          <w:rFonts w:ascii="Times New Roman" w:hAnsi="Times New Roman"/>
          <w:sz w:val="24"/>
          <w:szCs w:val="24"/>
        </w:rPr>
        <w:t>,</w:t>
      </w:r>
      <w:r w:rsidR="00744770">
        <w:rPr>
          <w:rFonts w:ascii="Times New Roman" w:hAnsi="Times New Roman"/>
          <w:sz w:val="24"/>
          <w:szCs w:val="24"/>
        </w:rPr>
        <w:t xml:space="preserve"> </w:t>
      </w:r>
      <w:r w:rsidR="00251420">
        <w:rPr>
          <w:rFonts w:ascii="Times New Roman" w:hAnsi="Times New Roman"/>
          <w:sz w:val="24"/>
          <w:szCs w:val="24"/>
        </w:rPr>
        <w:t xml:space="preserve">who raised </w:t>
      </w:r>
      <w:r w:rsidR="007B4E1B">
        <w:rPr>
          <w:rFonts w:ascii="Times New Roman" w:hAnsi="Times New Roman"/>
          <w:sz w:val="24"/>
          <w:szCs w:val="24"/>
        </w:rPr>
        <w:t xml:space="preserve">a </w:t>
      </w:r>
      <w:r w:rsidR="00744770">
        <w:rPr>
          <w:rFonts w:ascii="Times New Roman" w:hAnsi="Times New Roman"/>
          <w:sz w:val="24"/>
          <w:szCs w:val="24"/>
        </w:rPr>
        <w:t>number of concerns</w:t>
      </w:r>
      <w:r w:rsidR="003256EE">
        <w:rPr>
          <w:rFonts w:ascii="Times New Roman" w:hAnsi="Times New Roman"/>
          <w:sz w:val="24"/>
          <w:szCs w:val="24"/>
        </w:rPr>
        <w:t>,</w:t>
      </w:r>
      <w:r w:rsidR="00B35A2C">
        <w:rPr>
          <w:rFonts w:ascii="Times New Roman" w:hAnsi="Times New Roman"/>
          <w:sz w:val="24"/>
          <w:szCs w:val="24"/>
        </w:rPr>
        <w:t xml:space="preserve"> </w:t>
      </w:r>
      <w:r w:rsidR="00FA233F">
        <w:rPr>
          <w:rFonts w:ascii="Times New Roman" w:hAnsi="Times New Roman"/>
          <w:sz w:val="24"/>
          <w:szCs w:val="24"/>
        </w:rPr>
        <w:t>such as</w:t>
      </w:r>
      <w:r w:rsidR="00480FA2">
        <w:rPr>
          <w:rFonts w:ascii="Times New Roman" w:hAnsi="Times New Roman"/>
          <w:sz w:val="24"/>
          <w:szCs w:val="24"/>
        </w:rPr>
        <w:t xml:space="preserve"> that some of the properties selected </w:t>
      </w:r>
      <w:r w:rsidR="00881D2B">
        <w:rPr>
          <w:rFonts w:ascii="Times New Roman" w:hAnsi="Times New Roman"/>
          <w:sz w:val="24"/>
          <w:szCs w:val="24"/>
        </w:rPr>
        <w:t xml:space="preserve">for inclusion in the </w:t>
      </w:r>
      <w:r w:rsidR="007B4E1B">
        <w:rPr>
          <w:rFonts w:ascii="Times New Roman" w:hAnsi="Times New Roman"/>
          <w:sz w:val="24"/>
          <w:szCs w:val="24"/>
        </w:rPr>
        <w:t>P</w:t>
      </w:r>
      <w:r w:rsidR="00881D2B">
        <w:rPr>
          <w:rFonts w:ascii="Times New Roman" w:hAnsi="Times New Roman"/>
          <w:sz w:val="24"/>
          <w:szCs w:val="24"/>
        </w:rPr>
        <w:t xml:space="preserve">rogram </w:t>
      </w:r>
      <w:r w:rsidR="0064443C">
        <w:rPr>
          <w:rFonts w:ascii="Times New Roman" w:hAnsi="Times New Roman"/>
          <w:sz w:val="24"/>
          <w:szCs w:val="24"/>
        </w:rPr>
        <w:t>appear</w:t>
      </w:r>
      <w:r w:rsidR="006051AE">
        <w:rPr>
          <w:rFonts w:ascii="Times New Roman" w:hAnsi="Times New Roman"/>
          <w:sz w:val="24"/>
          <w:szCs w:val="24"/>
        </w:rPr>
        <w:t>ed</w:t>
      </w:r>
      <w:r w:rsidR="0064443C">
        <w:rPr>
          <w:rFonts w:ascii="Times New Roman" w:hAnsi="Times New Roman"/>
          <w:sz w:val="24"/>
          <w:szCs w:val="24"/>
        </w:rPr>
        <w:t xml:space="preserve"> to be</w:t>
      </w:r>
      <w:r w:rsidR="00002888">
        <w:rPr>
          <w:rFonts w:ascii="Times New Roman" w:hAnsi="Times New Roman"/>
          <w:sz w:val="24"/>
          <w:szCs w:val="24"/>
        </w:rPr>
        <w:t xml:space="preserve"> </w:t>
      </w:r>
      <w:r w:rsidR="00E23020">
        <w:rPr>
          <w:rFonts w:ascii="Times New Roman" w:hAnsi="Times New Roman"/>
          <w:sz w:val="24"/>
          <w:szCs w:val="24"/>
        </w:rPr>
        <w:t>in fine physical and financial condition</w:t>
      </w:r>
      <w:r w:rsidR="0083580D">
        <w:rPr>
          <w:rFonts w:ascii="Times New Roman" w:hAnsi="Times New Roman"/>
          <w:sz w:val="24"/>
          <w:szCs w:val="24"/>
        </w:rPr>
        <w:t>.</w:t>
      </w:r>
      <w:r w:rsidR="00B35A2C">
        <w:rPr>
          <w:rStyle w:val="FootnoteReference"/>
          <w:rFonts w:ascii="Times New Roman" w:hAnsi="Times New Roman"/>
          <w:sz w:val="24"/>
          <w:szCs w:val="24"/>
        </w:rPr>
        <w:footnoteReference w:id="9"/>
      </w:r>
      <w:r w:rsidR="0083580D">
        <w:rPr>
          <w:rFonts w:ascii="Times New Roman" w:hAnsi="Times New Roman"/>
          <w:sz w:val="24"/>
          <w:szCs w:val="24"/>
        </w:rPr>
        <w:t xml:space="preserve"> </w:t>
      </w:r>
      <w:r w:rsidR="00B35A2C">
        <w:rPr>
          <w:rFonts w:ascii="Times New Roman" w:hAnsi="Times New Roman"/>
          <w:sz w:val="24"/>
          <w:szCs w:val="24"/>
        </w:rPr>
        <w:t>H</w:t>
      </w:r>
      <w:r w:rsidR="00062AC5">
        <w:rPr>
          <w:rFonts w:ascii="Times New Roman" w:hAnsi="Times New Roman"/>
          <w:sz w:val="24"/>
          <w:szCs w:val="24"/>
        </w:rPr>
        <w:t xml:space="preserve">omeowners </w:t>
      </w:r>
      <w:r w:rsidR="0005298A">
        <w:rPr>
          <w:rFonts w:ascii="Times New Roman" w:hAnsi="Times New Roman"/>
          <w:sz w:val="24"/>
          <w:szCs w:val="24"/>
        </w:rPr>
        <w:t xml:space="preserve">of properties included in </w:t>
      </w:r>
      <w:r w:rsidR="00230E7A">
        <w:rPr>
          <w:rFonts w:ascii="Times New Roman" w:hAnsi="Times New Roman"/>
          <w:sz w:val="24"/>
          <w:szCs w:val="24"/>
        </w:rPr>
        <w:t>Round X also expressed</w:t>
      </w:r>
      <w:r w:rsidR="00B35A2C">
        <w:rPr>
          <w:rFonts w:ascii="Times New Roman" w:hAnsi="Times New Roman"/>
          <w:sz w:val="24"/>
          <w:szCs w:val="24"/>
        </w:rPr>
        <w:t xml:space="preserve"> concerns, including that</w:t>
      </w:r>
      <w:r w:rsidR="00540583">
        <w:rPr>
          <w:rFonts w:ascii="Times New Roman" w:hAnsi="Times New Roman"/>
          <w:sz w:val="24"/>
          <w:szCs w:val="24"/>
        </w:rPr>
        <w:t xml:space="preserve"> the </w:t>
      </w:r>
      <w:r w:rsidR="00005D86">
        <w:rPr>
          <w:rFonts w:ascii="Times New Roman" w:hAnsi="Times New Roman"/>
          <w:sz w:val="24"/>
          <w:szCs w:val="24"/>
        </w:rPr>
        <w:t xml:space="preserve">City </w:t>
      </w:r>
      <w:r w:rsidR="00540583">
        <w:rPr>
          <w:rFonts w:ascii="Times New Roman" w:hAnsi="Times New Roman"/>
          <w:sz w:val="24"/>
          <w:szCs w:val="24"/>
        </w:rPr>
        <w:t xml:space="preserve">provided </w:t>
      </w:r>
      <w:r w:rsidR="00D0166D">
        <w:rPr>
          <w:rFonts w:ascii="Times New Roman" w:hAnsi="Times New Roman"/>
          <w:sz w:val="24"/>
          <w:szCs w:val="24"/>
        </w:rPr>
        <w:t xml:space="preserve">them </w:t>
      </w:r>
      <w:r w:rsidR="00540583">
        <w:rPr>
          <w:rFonts w:ascii="Times New Roman" w:hAnsi="Times New Roman"/>
          <w:sz w:val="24"/>
          <w:szCs w:val="24"/>
        </w:rPr>
        <w:t>with little</w:t>
      </w:r>
      <w:r w:rsidR="001F221D">
        <w:rPr>
          <w:rFonts w:ascii="Times New Roman" w:hAnsi="Times New Roman"/>
          <w:sz w:val="24"/>
          <w:szCs w:val="24"/>
        </w:rPr>
        <w:t xml:space="preserve"> notice </w:t>
      </w:r>
      <w:r w:rsidR="00540583">
        <w:rPr>
          <w:rFonts w:ascii="Times New Roman" w:hAnsi="Times New Roman"/>
          <w:sz w:val="24"/>
          <w:szCs w:val="24"/>
        </w:rPr>
        <w:t xml:space="preserve">and </w:t>
      </w:r>
      <w:r w:rsidR="00F06B07">
        <w:rPr>
          <w:rFonts w:ascii="Times New Roman" w:hAnsi="Times New Roman"/>
          <w:sz w:val="24"/>
          <w:szCs w:val="24"/>
        </w:rPr>
        <w:t>opportunity to redeem their properties from the Program.</w:t>
      </w:r>
      <w:r w:rsidR="002E6CB9">
        <w:rPr>
          <w:rStyle w:val="FootnoteReference"/>
          <w:rFonts w:ascii="Times New Roman" w:hAnsi="Times New Roman"/>
          <w:sz w:val="24"/>
          <w:szCs w:val="24"/>
        </w:rPr>
        <w:footnoteReference w:id="10"/>
      </w:r>
      <w:r w:rsidR="00F06B07">
        <w:rPr>
          <w:rFonts w:ascii="Times New Roman" w:hAnsi="Times New Roman"/>
          <w:sz w:val="24"/>
          <w:szCs w:val="24"/>
        </w:rPr>
        <w:t xml:space="preserve">  </w:t>
      </w:r>
    </w:p>
    <w:p w:rsidR="00C302F9" w:rsidRPr="00061CD7" w:rsidRDefault="00C302F9" w:rsidP="009B6ADC">
      <w:pPr>
        <w:spacing w:after="0" w:line="480" w:lineRule="auto"/>
        <w:ind w:firstLine="720"/>
        <w:jc w:val="both"/>
        <w:rPr>
          <w:rFonts w:ascii="Times New Roman" w:hAnsi="Times New Roman"/>
          <w:sz w:val="24"/>
          <w:szCs w:val="24"/>
        </w:rPr>
      </w:pPr>
      <w:r>
        <w:rPr>
          <w:rFonts w:ascii="Times New Roman" w:hAnsi="Times New Roman"/>
          <w:sz w:val="24"/>
          <w:szCs w:val="24"/>
        </w:rPr>
        <w:t>The Committee</w:t>
      </w:r>
      <w:r w:rsidR="008A5D9D">
        <w:rPr>
          <w:rFonts w:ascii="Times New Roman" w:hAnsi="Times New Roman"/>
          <w:sz w:val="24"/>
          <w:szCs w:val="24"/>
        </w:rPr>
        <w:t>s expect</w:t>
      </w:r>
      <w:r>
        <w:rPr>
          <w:rFonts w:ascii="Times New Roman" w:hAnsi="Times New Roman"/>
          <w:sz w:val="24"/>
          <w:szCs w:val="24"/>
        </w:rPr>
        <w:t xml:space="preserve"> that </w:t>
      </w:r>
      <w:r w:rsidR="009C387C">
        <w:rPr>
          <w:rFonts w:ascii="Times New Roman" w:hAnsi="Times New Roman"/>
          <w:sz w:val="24"/>
          <w:szCs w:val="24"/>
        </w:rPr>
        <w:t xml:space="preserve">this hearing </w:t>
      </w:r>
      <w:r>
        <w:rPr>
          <w:rFonts w:ascii="Times New Roman" w:hAnsi="Times New Roman"/>
          <w:sz w:val="24"/>
          <w:szCs w:val="24"/>
        </w:rPr>
        <w:t>will address these</w:t>
      </w:r>
      <w:r w:rsidR="002E6CB9">
        <w:rPr>
          <w:rFonts w:ascii="Times New Roman" w:hAnsi="Times New Roman"/>
          <w:sz w:val="24"/>
          <w:szCs w:val="24"/>
        </w:rPr>
        <w:t xml:space="preserve"> and other</w:t>
      </w:r>
      <w:r>
        <w:rPr>
          <w:rFonts w:ascii="Times New Roman" w:hAnsi="Times New Roman"/>
          <w:sz w:val="24"/>
          <w:szCs w:val="24"/>
        </w:rPr>
        <w:t xml:space="preserve"> issues</w:t>
      </w:r>
      <w:r w:rsidR="002E6CB9">
        <w:rPr>
          <w:rFonts w:ascii="Times New Roman" w:hAnsi="Times New Roman"/>
          <w:sz w:val="24"/>
          <w:szCs w:val="24"/>
        </w:rPr>
        <w:t xml:space="preserve"> related to </w:t>
      </w:r>
      <w:r>
        <w:rPr>
          <w:rFonts w:ascii="Times New Roman" w:hAnsi="Times New Roman"/>
          <w:sz w:val="24"/>
          <w:szCs w:val="24"/>
        </w:rPr>
        <w:t>Round</w:t>
      </w:r>
      <w:r w:rsidR="00744770">
        <w:rPr>
          <w:rFonts w:ascii="Times New Roman" w:hAnsi="Times New Roman"/>
          <w:sz w:val="24"/>
          <w:szCs w:val="24"/>
        </w:rPr>
        <w:t xml:space="preserve"> X</w:t>
      </w:r>
      <w:r>
        <w:rPr>
          <w:rFonts w:ascii="Times New Roman" w:hAnsi="Times New Roman"/>
          <w:sz w:val="24"/>
          <w:szCs w:val="24"/>
        </w:rPr>
        <w:t xml:space="preserve">. </w:t>
      </w:r>
    </w:p>
    <w:p w:rsidR="00353342" w:rsidRPr="009B6ADC" w:rsidRDefault="00193644" w:rsidP="009B6ADC">
      <w:pPr>
        <w:pStyle w:val="Heading1"/>
        <w:rPr>
          <w:b/>
          <w:i w:val="0"/>
        </w:rPr>
      </w:pPr>
      <w:r w:rsidRPr="00353342">
        <w:rPr>
          <w:b/>
          <w:i w:val="0"/>
        </w:rPr>
        <w:t>OVERVIEW OF TPT PROCESS</w:t>
      </w:r>
    </w:p>
    <w:p w:rsidR="00353342" w:rsidRPr="009B6ADC" w:rsidRDefault="002E7C98" w:rsidP="009B6ADC">
      <w:pPr>
        <w:pStyle w:val="Heading2"/>
        <w:spacing w:before="0" w:after="0" w:line="480" w:lineRule="auto"/>
        <w:rPr>
          <w:rFonts w:ascii="Times New Roman" w:hAnsi="Times New Roman" w:cs="Times New Roman"/>
          <w:b w:val="0"/>
          <w:i w:val="0"/>
          <w:sz w:val="24"/>
          <w:szCs w:val="24"/>
          <w:u w:val="single"/>
        </w:rPr>
      </w:pPr>
      <w:r>
        <w:rPr>
          <w:rFonts w:ascii="Times New Roman" w:hAnsi="Times New Roman" w:cs="Times New Roman"/>
          <w:b w:val="0"/>
          <w:i w:val="0"/>
          <w:sz w:val="24"/>
          <w:szCs w:val="24"/>
          <w:u w:val="single"/>
        </w:rPr>
        <w:t xml:space="preserve">The TPT </w:t>
      </w:r>
      <w:r w:rsidR="00B36BBA">
        <w:rPr>
          <w:rFonts w:ascii="Times New Roman" w:hAnsi="Times New Roman" w:cs="Times New Roman"/>
          <w:b w:val="0"/>
          <w:i w:val="0"/>
          <w:sz w:val="24"/>
          <w:szCs w:val="24"/>
          <w:u w:val="single"/>
        </w:rPr>
        <w:t>Property Selection Process</w:t>
      </w:r>
      <w:r w:rsidR="00193644" w:rsidRPr="00353342">
        <w:rPr>
          <w:rFonts w:ascii="Times New Roman" w:hAnsi="Times New Roman" w:cs="Times New Roman"/>
          <w:b w:val="0"/>
          <w:i w:val="0"/>
          <w:sz w:val="24"/>
          <w:szCs w:val="24"/>
          <w:u w:val="single"/>
        </w:rPr>
        <w:t xml:space="preserve"> </w:t>
      </w:r>
    </w:p>
    <w:p w:rsidR="00193644" w:rsidRDefault="00216A7A" w:rsidP="009B6ADC">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Local Law 37</w:t>
      </w:r>
      <w:r w:rsidR="004E7F67">
        <w:rPr>
          <w:rFonts w:ascii="Times New Roman" w:hAnsi="Times New Roman"/>
          <w:sz w:val="24"/>
          <w:szCs w:val="24"/>
        </w:rPr>
        <w:t xml:space="preserve"> </w:t>
      </w:r>
      <w:r>
        <w:rPr>
          <w:rFonts w:ascii="Times New Roman" w:hAnsi="Times New Roman"/>
          <w:sz w:val="24"/>
          <w:szCs w:val="24"/>
        </w:rPr>
        <w:t>sets forth</w:t>
      </w:r>
      <w:r w:rsidR="004E7F67">
        <w:rPr>
          <w:rFonts w:ascii="Times New Roman" w:hAnsi="Times New Roman"/>
          <w:sz w:val="24"/>
          <w:szCs w:val="24"/>
        </w:rPr>
        <w:t xml:space="preserve"> the </w:t>
      </w:r>
      <w:r w:rsidR="00193644" w:rsidRPr="0040611A">
        <w:rPr>
          <w:rFonts w:ascii="Times New Roman" w:hAnsi="Times New Roman"/>
          <w:sz w:val="24"/>
          <w:szCs w:val="24"/>
        </w:rPr>
        <w:t xml:space="preserve">City’s ability to foreclose </w:t>
      </w:r>
      <w:r w:rsidR="00193644">
        <w:rPr>
          <w:rFonts w:ascii="Times New Roman" w:hAnsi="Times New Roman"/>
          <w:sz w:val="24"/>
          <w:szCs w:val="24"/>
        </w:rPr>
        <w:t>upon tax delinquent properties</w:t>
      </w:r>
      <w:r w:rsidR="00193644" w:rsidRPr="0040611A">
        <w:rPr>
          <w:rFonts w:ascii="Times New Roman" w:hAnsi="Times New Roman"/>
          <w:sz w:val="24"/>
          <w:szCs w:val="24"/>
        </w:rPr>
        <w:t xml:space="preserve"> </w:t>
      </w:r>
      <w:r w:rsidR="00B746EF">
        <w:rPr>
          <w:rFonts w:ascii="Times New Roman" w:hAnsi="Times New Roman"/>
          <w:sz w:val="24"/>
          <w:szCs w:val="24"/>
        </w:rPr>
        <w:t xml:space="preserve">in connection with TPT, allowing </w:t>
      </w:r>
      <w:r w:rsidR="00193644">
        <w:rPr>
          <w:rFonts w:ascii="Times New Roman" w:hAnsi="Times New Roman"/>
          <w:sz w:val="24"/>
          <w:szCs w:val="24"/>
        </w:rPr>
        <w:t xml:space="preserve">the City </w:t>
      </w:r>
      <w:r>
        <w:rPr>
          <w:rFonts w:ascii="Times New Roman" w:hAnsi="Times New Roman"/>
          <w:sz w:val="24"/>
          <w:szCs w:val="24"/>
        </w:rPr>
        <w:t xml:space="preserve">to </w:t>
      </w:r>
      <w:r w:rsidR="00193644">
        <w:rPr>
          <w:rFonts w:ascii="Times New Roman" w:hAnsi="Times New Roman"/>
          <w:sz w:val="24"/>
          <w:szCs w:val="24"/>
        </w:rPr>
        <w:t xml:space="preserve">foreclose upon </w:t>
      </w:r>
      <w:r w:rsidR="004E7F67">
        <w:rPr>
          <w:rFonts w:ascii="Times New Roman" w:hAnsi="Times New Roman"/>
          <w:sz w:val="24"/>
          <w:szCs w:val="24"/>
        </w:rPr>
        <w:t xml:space="preserve">1) </w:t>
      </w:r>
      <w:r w:rsidR="002E2500">
        <w:rPr>
          <w:rFonts w:ascii="Times New Roman" w:hAnsi="Times New Roman"/>
          <w:sz w:val="24"/>
          <w:szCs w:val="24"/>
        </w:rPr>
        <w:t xml:space="preserve">non-cooperative and </w:t>
      </w:r>
      <w:r w:rsidR="00243289">
        <w:rPr>
          <w:rFonts w:ascii="Times New Roman" w:hAnsi="Times New Roman"/>
          <w:sz w:val="24"/>
          <w:szCs w:val="24"/>
        </w:rPr>
        <w:t>non-</w:t>
      </w:r>
      <w:r w:rsidR="002E2500">
        <w:rPr>
          <w:rFonts w:ascii="Times New Roman" w:hAnsi="Times New Roman"/>
          <w:sz w:val="24"/>
          <w:szCs w:val="24"/>
        </w:rPr>
        <w:t xml:space="preserve">condominium residential </w:t>
      </w:r>
      <w:r w:rsidR="00193644" w:rsidRPr="002E2500">
        <w:rPr>
          <w:rFonts w:ascii="Times New Roman" w:hAnsi="Times New Roman"/>
          <w:sz w:val="24"/>
          <w:szCs w:val="24"/>
        </w:rPr>
        <w:t>properties</w:t>
      </w:r>
      <w:r w:rsidR="00193644" w:rsidRPr="00DB43F9">
        <w:rPr>
          <w:rStyle w:val="FootnoteReference"/>
          <w:rFonts w:ascii="Times New Roman" w:hAnsi="Times New Roman"/>
          <w:sz w:val="24"/>
          <w:szCs w:val="24"/>
        </w:rPr>
        <w:footnoteReference w:id="11"/>
      </w:r>
      <w:r w:rsidR="00193644" w:rsidRPr="00DB43F9">
        <w:rPr>
          <w:rFonts w:ascii="Times New Roman" w:hAnsi="Times New Roman"/>
          <w:sz w:val="24"/>
          <w:szCs w:val="24"/>
        </w:rPr>
        <w:t xml:space="preserve"> </w:t>
      </w:r>
      <w:r w:rsidR="00193644">
        <w:rPr>
          <w:rFonts w:ascii="Times New Roman" w:hAnsi="Times New Roman"/>
          <w:sz w:val="24"/>
          <w:szCs w:val="24"/>
        </w:rPr>
        <w:t>with a tax lien outstanding for at least one year</w:t>
      </w:r>
      <w:r w:rsidR="004E7F67">
        <w:rPr>
          <w:rFonts w:ascii="Times New Roman" w:hAnsi="Times New Roman"/>
          <w:sz w:val="24"/>
          <w:szCs w:val="24"/>
        </w:rPr>
        <w:t xml:space="preserve">, and 2) </w:t>
      </w:r>
      <w:r w:rsidR="00193644">
        <w:rPr>
          <w:rFonts w:ascii="Times New Roman" w:hAnsi="Times New Roman"/>
          <w:sz w:val="24"/>
          <w:szCs w:val="24"/>
        </w:rPr>
        <w:t>cooperative and condominium</w:t>
      </w:r>
      <w:r w:rsidR="00243289">
        <w:rPr>
          <w:rFonts w:ascii="Times New Roman" w:hAnsi="Times New Roman"/>
          <w:sz w:val="24"/>
          <w:szCs w:val="24"/>
        </w:rPr>
        <w:t xml:space="preserve"> properties</w:t>
      </w:r>
      <w:r w:rsidR="00193644">
        <w:rPr>
          <w:rFonts w:ascii="Times New Roman" w:hAnsi="Times New Roman"/>
          <w:sz w:val="24"/>
          <w:szCs w:val="24"/>
        </w:rPr>
        <w:t xml:space="preserve"> with a tax lien outstanding for at least three years.</w:t>
      </w:r>
      <w:r w:rsidR="00193644">
        <w:rPr>
          <w:rStyle w:val="FootnoteReference"/>
          <w:rFonts w:ascii="Times New Roman" w:hAnsi="Times New Roman"/>
          <w:sz w:val="24"/>
          <w:szCs w:val="24"/>
        </w:rPr>
        <w:footnoteReference w:id="12"/>
      </w:r>
      <w:r w:rsidR="00CE5693">
        <w:rPr>
          <w:rFonts w:ascii="Times New Roman" w:hAnsi="Times New Roman"/>
          <w:sz w:val="24"/>
          <w:szCs w:val="24"/>
        </w:rPr>
        <w:t xml:space="preserve">  </w:t>
      </w:r>
    </w:p>
    <w:p w:rsidR="00193644" w:rsidRPr="007A5B4F" w:rsidRDefault="00193644" w:rsidP="00193644">
      <w:pPr>
        <w:spacing w:after="0" w:line="480" w:lineRule="auto"/>
        <w:ind w:firstLine="720"/>
        <w:jc w:val="both"/>
        <w:rPr>
          <w:rFonts w:ascii="Times New Roman" w:hAnsi="Times New Roman"/>
          <w:sz w:val="24"/>
          <w:szCs w:val="24"/>
          <w:shd w:val="clear" w:color="auto" w:fill="FFFFFF"/>
        </w:rPr>
      </w:pPr>
      <w:r w:rsidRPr="007A5B4F">
        <w:rPr>
          <w:rFonts w:ascii="Times New Roman" w:hAnsi="Times New Roman"/>
          <w:sz w:val="24"/>
          <w:szCs w:val="24"/>
        </w:rPr>
        <w:t>In selecting properties for TPT, HPD “carries out a comprehensive analysis of eligible buildings to determine which ones are [</w:t>
      </w:r>
      <w:r w:rsidRPr="007A5B4F">
        <w:rPr>
          <w:rFonts w:ascii="Times New Roman" w:hAnsi="Times New Roman"/>
          <w:i/>
          <w:sz w:val="24"/>
          <w:szCs w:val="24"/>
        </w:rPr>
        <w:t>sic</w:t>
      </w:r>
      <w:r w:rsidRPr="007A5B4F">
        <w:rPr>
          <w:rFonts w:ascii="Times New Roman" w:hAnsi="Times New Roman"/>
          <w:sz w:val="24"/>
          <w:szCs w:val="24"/>
        </w:rPr>
        <w:t>] exhibit the highest level of physical and financial distress,”</w:t>
      </w:r>
      <w:r w:rsidR="007B4E1B" w:rsidRPr="007A5B4F">
        <w:rPr>
          <w:rStyle w:val="FootnoteReference"/>
          <w:rFonts w:ascii="Times New Roman" w:hAnsi="Times New Roman"/>
          <w:sz w:val="24"/>
          <w:szCs w:val="24"/>
        </w:rPr>
        <w:footnoteReference w:id="13"/>
      </w:r>
      <w:r w:rsidRPr="007A5B4F">
        <w:rPr>
          <w:rFonts w:ascii="Times New Roman" w:hAnsi="Times New Roman"/>
          <w:sz w:val="24"/>
          <w:szCs w:val="24"/>
        </w:rPr>
        <w:t xml:space="preserve"> focusing on properties that meet the tax lien requirements set forth in </w:t>
      </w:r>
      <w:r w:rsidR="00216A7A" w:rsidRPr="007A5B4F">
        <w:rPr>
          <w:rFonts w:ascii="Times New Roman" w:hAnsi="Times New Roman"/>
          <w:sz w:val="24"/>
          <w:szCs w:val="24"/>
        </w:rPr>
        <w:t>local law</w:t>
      </w:r>
      <w:r w:rsidRPr="007A5B4F">
        <w:rPr>
          <w:rFonts w:ascii="Times New Roman" w:hAnsi="Times New Roman"/>
          <w:sz w:val="24"/>
          <w:szCs w:val="24"/>
        </w:rPr>
        <w:t xml:space="preserve"> and that are active in enforcement programs</w:t>
      </w:r>
      <w:r w:rsidR="001167B8" w:rsidRPr="007A5B4F">
        <w:rPr>
          <w:rStyle w:val="FootnoteReference"/>
          <w:rFonts w:ascii="Times New Roman" w:hAnsi="Times New Roman"/>
          <w:sz w:val="24"/>
          <w:szCs w:val="24"/>
        </w:rPr>
        <w:footnoteReference w:id="14"/>
      </w:r>
      <w:r w:rsidRPr="007A5B4F">
        <w:rPr>
          <w:rFonts w:ascii="Times New Roman" w:hAnsi="Times New Roman"/>
          <w:sz w:val="24"/>
          <w:szCs w:val="24"/>
        </w:rPr>
        <w:t xml:space="preserve"> and/or are statutorily distressed.</w:t>
      </w:r>
      <w:r w:rsidR="002E6CB9" w:rsidRPr="007A5B4F">
        <w:rPr>
          <w:rStyle w:val="FootnoteReference"/>
          <w:rFonts w:ascii="Times New Roman" w:hAnsi="Times New Roman"/>
          <w:sz w:val="24"/>
          <w:szCs w:val="24"/>
        </w:rPr>
        <w:footnoteReference w:id="15"/>
      </w:r>
      <w:r w:rsidR="00B01329" w:rsidRPr="007A5B4F">
        <w:rPr>
          <w:rFonts w:ascii="Times New Roman" w:hAnsi="Times New Roman"/>
          <w:sz w:val="24"/>
          <w:szCs w:val="24"/>
        </w:rPr>
        <w:t xml:space="preserve"> When Round X began in 2015</w:t>
      </w:r>
      <w:r w:rsidR="002451D5" w:rsidRPr="007A5B4F">
        <w:rPr>
          <w:rFonts w:ascii="Times New Roman" w:hAnsi="Times New Roman"/>
          <w:sz w:val="24"/>
          <w:szCs w:val="24"/>
        </w:rPr>
        <w:t>, a</w:t>
      </w:r>
      <w:r w:rsidRPr="007A5B4F">
        <w:rPr>
          <w:rFonts w:ascii="Times New Roman" w:hAnsi="Times New Roman"/>
          <w:sz w:val="24"/>
          <w:szCs w:val="24"/>
        </w:rPr>
        <w:t xml:space="preserve"> statutorily distressed pro</w:t>
      </w:r>
      <w:r w:rsidR="00B01329" w:rsidRPr="007A5B4F">
        <w:rPr>
          <w:rFonts w:ascii="Times New Roman" w:hAnsi="Times New Roman"/>
          <w:sz w:val="24"/>
          <w:szCs w:val="24"/>
        </w:rPr>
        <w:t>perty was</w:t>
      </w:r>
      <w:r w:rsidRPr="007A5B4F">
        <w:rPr>
          <w:rFonts w:ascii="Times New Roman" w:hAnsi="Times New Roman"/>
          <w:sz w:val="24"/>
          <w:szCs w:val="24"/>
        </w:rPr>
        <w:t xml:space="preserve"> defined as</w:t>
      </w:r>
      <w:r w:rsidRPr="007A5B4F">
        <w:rPr>
          <w:rFonts w:ascii="Times New Roman" w:eastAsia="Times New Roman" w:hAnsi="Times New Roman"/>
          <w:sz w:val="24"/>
          <w:szCs w:val="24"/>
        </w:rPr>
        <w:t xml:space="preserve"> any class one or class two real property that </w:t>
      </w:r>
      <w:r w:rsidR="006051AE" w:rsidRPr="007A5B4F">
        <w:rPr>
          <w:rFonts w:ascii="Times New Roman" w:eastAsia="Times New Roman" w:hAnsi="Times New Roman"/>
          <w:sz w:val="24"/>
          <w:szCs w:val="24"/>
        </w:rPr>
        <w:t xml:space="preserve">was </w:t>
      </w:r>
      <w:r w:rsidRPr="007A5B4F">
        <w:rPr>
          <w:rFonts w:ascii="Times New Roman" w:eastAsia="Times New Roman" w:hAnsi="Times New Roman"/>
          <w:sz w:val="24"/>
          <w:szCs w:val="24"/>
        </w:rPr>
        <w:t xml:space="preserve">subject to a tax lien with a lien to value ratio, as determined by </w:t>
      </w:r>
      <w:r w:rsidR="00992FA2" w:rsidRPr="007A5B4F">
        <w:rPr>
          <w:rFonts w:ascii="Times New Roman" w:eastAsia="Times New Roman" w:hAnsi="Times New Roman"/>
          <w:sz w:val="24"/>
          <w:szCs w:val="24"/>
        </w:rPr>
        <w:t>DOF</w:t>
      </w:r>
      <w:r w:rsidRPr="007A5B4F">
        <w:rPr>
          <w:rFonts w:ascii="Times New Roman" w:eastAsia="Times New Roman" w:hAnsi="Times New Roman"/>
          <w:sz w:val="24"/>
          <w:szCs w:val="24"/>
        </w:rPr>
        <w:t xml:space="preserve">, equal to or greater than 15% </w:t>
      </w:r>
      <w:r w:rsidR="006051AE" w:rsidRPr="007A5B4F">
        <w:rPr>
          <w:rFonts w:ascii="Times New Roman" w:eastAsia="Times New Roman" w:hAnsi="Times New Roman"/>
          <w:sz w:val="24"/>
          <w:szCs w:val="24"/>
        </w:rPr>
        <w:t>and that met</w:t>
      </w:r>
      <w:r w:rsidRPr="007A5B4F">
        <w:rPr>
          <w:rFonts w:ascii="Times New Roman" w:eastAsia="Times New Roman" w:hAnsi="Times New Roman"/>
          <w:sz w:val="24"/>
          <w:szCs w:val="24"/>
        </w:rPr>
        <w:t xml:space="preserve"> at least one of the following criteria:</w:t>
      </w:r>
    </w:p>
    <w:p w:rsidR="00193644" w:rsidRPr="002B5452" w:rsidRDefault="00214330" w:rsidP="00193644">
      <w:pPr>
        <w:pStyle w:val="ListParagraph"/>
        <w:numPr>
          <w:ilvl w:val="0"/>
          <w:numId w:val="1"/>
        </w:numPr>
        <w:spacing w:after="0" w:line="480" w:lineRule="auto"/>
        <w:ind w:left="2160" w:hanging="720"/>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the</w:t>
      </w:r>
      <w:r w:rsidRPr="002B5452">
        <w:rPr>
          <w:rFonts w:ascii="Times New Roman" w:eastAsia="Times New Roman" w:hAnsi="Times New Roman"/>
          <w:color w:val="212121"/>
          <w:sz w:val="24"/>
          <w:szCs w:val="24"/>
        </w:rPr>
        <w:t xml:space="preserve"> </w:t>
      </w:r>
      <w:r w:rsidR="006051AE">
        <w:rPr>
          <w:rFonts w:ascii="Times New Roman" w:eastAsia="Times New Roman" w:hAnsi="Times New Roman"/>
          <w:color w:val="212121"/>
          <w:sz w:val="24"/>
          <w:szCs w:val="24"/>
        </w:rPr>
        <w:t>property had</w:t>
      </w:r>
      <w:r w:rsidR="00193644" w:rsidRPr="002B5452">
        <w:rPr>
          <w:rFonts w:ascii="Times New Roman" w:eastAsia="Times New Roman" w:hAnsi="Times New Roman"/>
          <w:color w:val="212121"/>
          <w:sz w:val="24"/>
          <w:szCs w:val="24"/>
        </w:rPr>
        <w:t xml:space="preserve"> an average of five or more hazardous (Class B)</w:t>
      </w:r>
      <w:r w:rsidR="001167B8">
        <w:rPr>
          <w:rStyle w:val="FootnoteReference"/>
          <w:rFonts w:ascii="Times New Roman" w:eastAsia="Times New Roman" w:hAnsi="Times New Roman"/>
          <w:color w:val="212121"/>
          <w:sz w:val="24"/>
          <w:szCs w:val="24"/>
        </w:rPr>
        <w:footnoteReference w:id="16"/>
      </w:r>
      <w:r w:rsidR="00193644" w:rsidRPr="002B5452">
        <w:rPr>
          <w:rFonts w:ascii="Times New Roman" w:eastAsia="Times New Roman" w:hAnsi="Times New Roman"/>
          <w:color w:val="212121"/>
          <w:sz w:val="24"/>
          <w:szCs w:val="24"/>
        </w:rPr>
        <w:t xml:space="preserve"> or immediately hazardous violations (Class C)</w:t>
      </w:r>
      <w:r w:rsidR="001167B8">
        <w:rPr>
          <w:rStyle w:val="FootnoteReference"/>
          <w:rFonts w:ascii="Times New Roman" w:eastAsia="Times New Roman" w:hAnsi="Times New Roman"/>
          <w:color w:val="212121"/>
          <w:sz w:val="24"/>
          <w:szCs w:val="24"/>
        </w:rPr>
        <w:footnoteReference w:id="17"/>
      </w:r>
      <w:r w:rsidR="00193644" w:rsidRPr="002B5452">
        <w:rPr>
          <w:rFonts w:ascii="Times New Roman" w:eastAsia="Times New Roman" w:hAnsi="Times New Roman"/>
          <w:color w:val="212121"/>
          <w:sz w:val="24"/>
          <w:szCs w:val="24"/>
        </w:rPr>
        <w:t xml:space="preserve"> per dwelling unit; or</w:t>
      </w:r>
    </w:p>
    <w:p w:rsidR="00193644" w:rsidRDefault="00214330" w:rsidP="00193644">
      <w:pPr>
        <w:pStyle w:val="ListParagraph"/>
        <w:numPr>
          <w:ilvl w:val="0"/>
          <w:numId w:val="1"/>
        </w:numPr>
        <w:spacing w:after="0" w:line="480" w:lineRule="auto"/>
        <w:ind w:left="2160" w:hanging="720"/>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the</w:t>
      </w:r>
      <w:r w:rsidRPr="002B5452">
        <w:rPr>
          <w:rFonts w:ascii="Times New Roman" w:eastAsia="Times New Roman" w:hAnsi="Times New Roman"/>
          <w:color w:val="212121"/>
          <w:sz w:val="24"/>
          <w:szCs w:val="24"/>
        </w:rPr>
        <w:t xml:space="preserve"> </w:t>
      </w:r>
      <w:r w:rsidR="006051AE">
        <w:rPr>
          <w:rFonts w:ascii="Times New Roman" w:eastAsia="Times New Roman" w:hAnsi="Times New Roman"/>
          <w:color w:val="212121"/>
          <w:sz w:val="24"/>
          <w:szCs w:val="24"/>
        </w:rPr>
        <w:t>property wa</w:t>
      </w:r>
      <w:r w:rsidR="00193644" w:rsidRPr="002B5452">
        <w:rPr>
          <w:rFonts w:ascii="Times New Roman" w:eastAsia="Times New Roman" w:hAnsi="Times New Roman"/>
          <w:color w:val="212121"/>
          <w:sz w:val="24"/>
          <w:szCs w:val="24"/>
        </w:rPr>
        <w:t>s subject to a lien or liens for $1,000 or more for any expenses incurred by HPD under its Emergency Repair Program</w:t>
      </w:r>
      <w:r w:rsidR="00193644">
        <w:rPr>
          <w:rFonts w:ascii="Times New Roman" w:eastAsia="Times New Roman" w:hAnsi="Times New Roman"/>
          <w:color w:val="212121"/>
          <w:sz w:val="24"/>
          <w:szCs w:val="24"/>
        </w:rPr>
        <w:t xml:space="preserve"> (“ERP”)</w:t>
      </w:r>
      <w:r w:rsidR="00193644" w:rsidRPr="002B5452">
        <w:rPr>
          <w:rFonts w:ascii="Times New Roman" w:eastAsia="Times New Roman" w:hAnsi="Times New Roman"/>
          <w:color w:val="212121"/>
          <w:sz w:val="24"/>
          <w:szCs w:val="24"/>
        </w:rPr>
        <w:t>.</w:t>
      </w:r>
      <w:r w:rsidR="00193644" w:rsidRPr="002B5452">
        <w:rPr>
          <w:rStyle w:val="FootnoteReference"/>
          <w:rFonts w:ascii="Times New Roman" w:eastAsia="Times New Roman" w:hAnsi="Times New Roman"/>
          <w:color w:val="212121"/>
          <w:sz w:val="24"/>
          <w:szCs w:val="24"/>
        </w:rPr>
        <w:footnoteReference w:id="18"/>
      </w:r>
    </w:p>
    <w:p w:rsidR="00193644" w:rsidRPr="002C75E8" w:rsidRDefault="00193644" w:rsidP="00FA233F">
      <w:pPr>
        <w:spacing w:after="0" w:line="480" w:lineRule="auto"/>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 xml:space="preserve">DOF works with HPD to select properties for </w:t>
      </w:r>
      <w:r w:rsidRPr="00DB4C7E">
        <w:rPr>
          <w:rFonts w:ascii="Times New Roman" w:eastAsia="Times New Roman" w:hAnsi="Times New Roman"/>
          <w:i/>
          <w:color w:val="212121"/>
          <w:sz w:val="24"/>
          <w:szCs w:val="24"/>
        </w:rPr>
        <w:t>in rem</w:t>
      </w:r>
      <w:r>
        <w:rPr>
          <w:rFonts w:ascii="Times New Roman" w:eastAsia="Times New Roman" w:hAnsi="Times New Roman"/>
          <w:color w:val="212121"/>
          <w:sz w:val="24"/>
          <w:szCs w:val="24"/>
        </w:rPr>
        <w:t xml:space="preserve"> foreclosure actions.  </w:t>
      </w:r>
      <w:r w:rsidR="000341F0">
        <w:rPr>
          <w:rFonts w:ascii="Times New Roman" w:eastAsia="Times New Roman" w:hAnsi="Times New Roman"/>
          <w:color w:val="212121"/>
          <w:sz w:val="24"/>
          <w:szCs w:val="24"/>
        </w:rPr>
        <w:t>Throughout Round X, on its website, DOF stated</w:t>
      </w:r>
      <w:r>
        <w:rPr>
          <w:rFonts w:ascii="Times New Roman" w:eastAsia="Times New Roman" w:hAnsi="Times New Roman"/>
          <w:color w:val="212121"/>
          <w:sz w:val="24"/>
          <w:szCs w:val="24"/>
        </w:rPr>
        <w:t xml:space="preserve"> </w:t>
      </w:r>
      <w:r w:rsidRPr="0089502E">
        <w:rPr>
          <w:rFonts w:ascii="Times New Roman" w:hAnsi="Times New Roman"/>
          <w:sz w:val="24"/>
          <w:szCs w:val="24"/>
        </w:rPr>
        <w:t xml:space="preserve">that a property may be subject </w:t>
      </w:r>
      <w:r w:rsidR="00881D2B">
        <w:rPr>
          <w:rFonts w:ascii="Times New Roman" w:hAnsi="Times New Roman"/>
          <w:sz w:val="24"/>
          <w:szCs w:val="24"/>
        </w:rPr>
        <w:t>to</w:t>
      </w:r>
      <w:r w:rsidR="00881D2B" w:rsidRPr="0089502E">
        <w:rPr>
          <w:rFonts w:ascii="Times New Roman" w:hAnsi="Times New Roman"/>
          <w:sz w:val="24"/>
          <w:szCs w:val="24"/>
        </w:rPr>
        <w:t xml:space="preserve"> </w:t>
      </w:r>
      <w:r w:rsidRPr="0089502E">
        <w:rPr>
          <w:rFonts w:ascii="Times New Roman" w:hAnsi="Times New Roman"/>
          <w:sz w:val="24"/>
          <w:szCs w:val="24"/>
        </w:rPr>
        <w:t xml:space="preserve">an </w:t>
      </w:r>
      <w:r w:rsidRPr="006F518A">
        <w:rPr>
          <w:rFonts w:ascii="Times New Roman" w:hAnsi="Times New Roman"/>
          <w:i/>
          <w:sz w:val="24"/>
          <w:szCs w:val="24"/>
        </w:rPr>
        <w:t>in rem</w:t>
      </w:r>
      <w:r w:rsidRPr="0089502E">
        <w:rPr>
          <w:rFonts w:ascii="Times New Roman" w:hAnsi="Times New Roman"/>
          <w:sz w:val="24"/>
          <w:szCs w:val="24"/>
        </w:rPr>
        <w:t xml:space="preserve"> foreclosure action if: </w:t>
      </w:r>
    </w:p>
    <w:p w:rsidR="00F518DA" w:rsidRDefault="00BC2FB7" w:rsidP="00BC2FB7">
      <w:pPr>
        <w:pStyle w:val="ListParagraph"/>
        <w:numPr>
          <w:ilvl w:val="0"/>
          <w:numId w:val="35"/>
        </w:numPr>
        <w:spacing w:after="0" w:line="480" w:lineRule="auto"/>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w:t>
      </w:r>
      <w:r w:rsidR="00F518DA">
        <w:rPr>
          <w:rFonts w:ascii="Times New Roman" w:eastAsia="Times New Roman" w:hAnsi="Times New Roman"/>
          <w:color w:val="212121"/>
          <w:sz w:val="24"/>
          <w:szCs w:val="24"/>
        </w:rPr>
        <w:t>P</w:t>
      </w:r>
      <w:r w:rsidR="00193644" w:rsidRPr="00887FBC">
        <w:rPr>
          <w:rFonts w:ascii="Times New Roman" w:eastAsia="Times New Roman" w:hAnsi="Times New Roman"/>
          <w:color w:val="212121"/>
          <w:sz w:val="24"/>
          <w:szCs w:val="24"/>
        </w:rPr>
        <w:t xml:space="preserve">roperty </w:t>
      </w:r>
      <w:r w:rsidR="00F518DA">
        <w:rPr>
          <w:rFonts w:ascii="Times New Roman" w:eastAsia="Times New Roman" w:hAnsi="Times New Roman"/>
          <w:color w:val="212121"/>
          <w:sz w:val="24"/>
          <w:szCs w:val="24"/>
        </w:rPr>
        <w:t>T</w:t>
      </w:r>
      <w:r w:rsidR="00193644" w:rsidRPr="00887FBC">
        <w:rPr>
          <w:rFonts w:ascii="Times New Roman" w:eastAsia="Times New Roman" w:hAnsi="Times New Roman"/>
          <w:color w:val="212121"/>
          <w:sz w:val="24"/>
          <w:szCs w:val="24"/>
        </w:rPr>
        <w:t>axes and other property-related charges are late fo</w:t>
      </w:r>
      <w:r w:rsidR="00193644">
        <w:rPr>
          <w:rFonts w:ascii="Times New Roman" w:eastAsia="Times New Roman" w:hAnsi="Times New Roman"/>
          <w:color w:val="212121"/>
          <w:sz w:val="24"/>
          <w:szCs w:val="24"/>
        </w:rPr>
        <w:t>r an extended period of time.</w:t>
      </w:r>
    </w:p>
    <w:p w:rsidR="00353342" w:rsidRPr="00BC2FB7" w:rsidRDefault="00F518DA" w:rsidP="00BC2FB7">
      <w:pPr>
        <w:pStyle w:val="ListParagraph"/>
        <w:numPr>
          <w:ilvl w:val="0"/>
          <w:numId w:val="35"/>
        </w:numPr>
        <w:spacing w:after="0" w:line="480" w:lineRule="auto"/>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[T</w:t>
      </w:r>
      <w:r w:rsidR="00193644" w:rsidRPr="00BC2FB7">
        <w:rPr>
          <w:rFonts w:ascii="Times New Roman" w:eastAsia="Times New Roman" w:hAnsi="Times New Roman"/>
          <w:color w:val="212121"/>
          <w:sz w:val="24"/>
          <w:szCs w:val="24"/>
        </w:rPr>
        <w:t>he</w:t>
      </w:r>
      <w:r>
        <w:rPr>
          <w:rFonts w:ascii="Times New Roman" w:eastAsia="Times New Roman" w:hAnsi="Times New Roman"/>
          <w:color w:val="212121"/>
          <w:sz w:val="24"/>
          <w:szCs w:val="24"/>
        </w:rPr>
        <w:t>]</w:t>
      </w:r>
      <w:r w:rsidR="00193644" w:rsidRPr="00BC2FB7">
        <w:rPr>
          <w:rFonts w:ascii="Times New Roman" w:eastAsia="Times New Roman" w:hAnsi="Times New Roman"/>
          <w:color w:val="212121"/>
          <w:sz w:val="24"/>
          <w:szCs w:val="24"/>
        </w:rPr>
        <w:t xml:space="preserve"> property is in an area that the City considers to be </w:t>
      </w:r>
      <w:r w:rsidR="00BC2FB7">
        <w:rPr>
          <w:rFonts w:ascii="Times New Roman" w:eastAsia="Times New Roman" w:hAnsi="Times New Roman"/>
          <w:color w:val="212121"/>
          <w:sz w:val="24"/>
          <w:szCs w:val="24"/>
        </w:rPr>
        <w:t>‘</w:t>
      </w:r>
      <w:r w:rsidR="00193644" w:rsidRPr="00BC2FB7">
        <w:rPr>
          <w:rFonts w:ascii="Times New Roman" w:eastAsia="Times New Roman" w:hAnsi="Times New Roman"/>
          <w:color w:val="212121"/>
          <w:sz w:val="24"/>
          <w:szCs w:val="24"/>
        </w:rPr>
        <w:t>blighted</w:t>
      </w:r>
      <w:r w:rsidR="00BC2FB7">
        <w:rPr>
          <w:rFonts w:ascii="Times New Roman" w:eastAsia="Times New Roman" w:hAnsi="Times New Roman"/>
          <w:color w:val="212121"/>
          <w:sz w:val="24"/>
          <w:szCs w:val="24"/>
        </w:rPr>
        <w:t>’</w:t>
      </w:r>
      <w:r w:rsidR="00193644" w:rsidRPr="00BC2FB7">
        <w:rPr>
          <w:rFonts w:ascii="Times New Roman" w:eastAsia="Times New Roman" w:hAnsi="Times New Roman"/>
          <w:color w:val="212121"/>
          <w:sz w:val="24"/>
          <w:szCs w:val="24"/>
        </w:rPr>
        <w:t xml:space="preserve"> and has been targeted for improvements.</w:t>
      </w:r>
      <w:r w:rsidR="00BC2FB7">
        <w:rPr>
          <w:rFonts w:ascii="Times New Roman" w:eastAsia="Times New Roman" w:hAnsi="Times New Roman"/>
          <w:color w:val="212121"/>
          <w:sz w:val="24"/>
          <w:szCs w:val="24"/>
        </w:rPr>
        <w:t>”</w:t>
      </w:r>
      <w:r w:rsidR="00193644" w:rsidRPr="00A407AB">
        <w:rPr>
          <w:rFonts w:ascii="Times New Roman" w:hAnsi="Times New Roman"/>
          <w:sz w:val="24"/>
          <w:szCs w:val="24"/>
          <w:vertAlign w:val="superscript"/>
        </w:rPr>
        <w:footnoteReference w:id="19"/>
      </w:r>
      <w:r w:rsidR="00193644" w:rsidRPr="00A407AB">
        <w:rPr>
          <w:rFonts w:ascii="Times New Roman" w:eastAsia="Times New Roman" w:hAnsi="Times New Roman"/>
          <w:color w:val="212121"/>
          <w:sz w:val="24"/>
          <w:szCs w:val="24"/>
          <w:vertAlign w:val="superscript"/>
        </w:rPr>
        <w:t xml:space="preserve"> </w:t>
      </w:r>
      <w:r w:rsidR="00193644" w:rsidRPr="00A407AB">
        <w:rPr>
          <w:rFonts w:ascii="Times New Roman" w:eastAsia="Times New Roman" w:hAnsi="Times New Roman"/>
          <w:color w:val="212121"/>
          <w:sz w:val="24"/>
          <w:szCs w:val="24"/>
        </w:rPr>
        <w:t xml:space="preserve"> </w:t>
      </w:r>
    </w:p>
    <w:p w:rsidR="004E7F67" w:rsidRPr="00782231" w:rsidRDefault="004E7F67" w:rsidP="00782231">
      <w:pPr>
        <w:spacing w:after="0" w:line="480" w:lineRule="auto"/>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At the same time</w:t>
      </w:r>
      <w:r w:rsidR="004D3846">
        <w:rPr>
          <w:rFonts w:ascii="Times New Roman" w:eastAsia="Times New Roman" w:hAnsi="Times New Roman"/>
          <w:color w:val="212121"/>
          <w:sz w:val="24"/>
          <w:szCs w:val="24"/>
        </w:rPr>
        <w:t>,</w:t>
      </w:r>
      <w:r w:rsidR="009C691E">
        <w:rPr>
          <w:rFonts w:ascii="Times New Roman" w:eastAsia="Times New Roman" w:hAnsi="Times New Roman"/>
          <w:color w:val="212121"/>
          <w:sz w:val="24"/>
          <w:szCs w:val="24"/>
        </w:rPr>
        <w:t xml:space="preserve"> HPD has</w:t>
      </w:r>
      <w:r>
        <w:rPr>
          <w:rFonts w:ascii="Times New Roman" w:eastAsia="Times New Roman" w:hAnsi="Times New Roman"/>
          <w:color w:val="212121"/>
          <w:sz w:val="24"/>
          <w:szCs w:val="24"/>
        </w:rPr>
        <w:t xml:space="preserve"> maintained </w:t>
      </w:r>
      <w:r w:rsidRPr="00117A7D">
        <w:rPr>
          <w:rFonts w:ascii="Times New Roman" w:hAnsi="Times New Roman"/>
          <w:color w:val="212121"/>
          <w:sz w:val="24"/>
        </w:rPr>
        <w:t>that</w:t>
      </w:r>
      <w:r w:rsidR="00152CBD">
        <w:rPr>
          <w:rFonts w:ascii="Times New Roman" w:hAnsi="Times New Roman"/>
          <w:sz w:val="24"/>
          <w:szCs w:val="24"/>
        </w:rPr>
        <w:t xml:space="preserve"> it is </w:t>
      </w:r>
      <w:r>
        <w:rPr>
          <w:rFonts w:ascii="Times New Roman" w:hAnsi="Times New Roman"/>
          <w:sz w:val="24"/>
          <w:szCs w:val="24"/>
        </w:rPr>
        <w:t>authorized to foreclose on properties with</w:t>
      </w:r>
      <w:r w:rsidRPr="00CE5693">
        <w:rPr>
          <w:rFonts w:ascii="Times New Roman" w:hAnsi="Times New Roman"/>
          <w:sz w:val="24"/>
          <w:szCs w:val="24"/>
        </w:rPr>
        <w:t xml:space="preserve"> outs</w:t>
      </w:r>
      <w:r w:rsidR="00B73DA3">
        <w:rPr>
          <w:rFonts w:ascii="Times New Roman" w:hAnsi="Times New Roman"/>
          <w:sz w:val="24"/>
          <w:szCs w:val="24"/>
        </w:rPr>
        <w:t>tanding tax lien(s) of $1,000</w:t>
      </w:r>
      <w:r>
        <w:rPr>
          <w:rFonts w:ascii="Times New Roman" w:hAnsi="Times New Roman"/>
          <w:sz w:val="24"/>
          <w:szCs w:val="24"/>
        </w:rPr>
        <w:t xml:space="preserve"> or more irrespective of whether they are distressed</w:t>
      </w:r>
      <w:r w:rsidRPr="00CE5693">
        <w:rPr>
          <w:rFonts w:ascii="Times New Roman" w:hAnsi="Times New Roman"/>
          <w:sz w:val="24"/>
          <w:szCs w:val="24"/>
        </w:rPr>
        <w:t>.</w:t>
      </w:r>
      <w:r>
        <w:rPr>
          <w:rStyle w:val="FootnoteReference"/>
          <w:rFonts w:ascii="Times New Roman" w:hAnsi="Times New Roman"/>
          <w:sz w:val="24"/>
          <w:szCs w:val="24"/>
        </w:rPr>
        <w:footnoteReference w:id="20"/>
      </w:r>
    </w:p>
    <w:p w:rsidR="00353342" w:rsidRPr="009B6ADC" w:rsidRDefault="00373C31" w:rsidP="009B6ADC">
      <w:pPr>
        <w:pStyle w:val="Heading2"/>
        <w:spacing w:before="0" w:after="0" w:line="480" w:lineRule="auto"/>
        <w:rPr>
          <w:rFonts w:ascii="Times New Roman" w:hAnsi="Times New Roman" w:cs="Times New Roman"/>
          <w:b w:val="0"/>
          <w:i w:val="0"/>
          <w:sz w:val="24"/>
          <w:szCs w:val="24"/>
          <w:u w:val="single"/>
        </w:rPr>
      </w:pPr>
      <w:r>
        <w:rPr>
          <w:rFonts w:ascii="Times New Roman" w:hAnsi="Times New Roman" w:cs="Times New Roman"/>
          <w:b w:val="0"/>
          <w:i w:val="0"/>
          <w:sz w:val="24"/>
          <w:szCs w:val="24"/>
          <w:u w:val="single"/>
        </w:rPr>
        <w:t xml:space="preserve">Filing an </w:t>
      </w:r>
      <w:r w:rsidR="00193644" w:rsidRPr="007A5B4F">
        <w:rPr>
          <w:rFonts w:ascii="Times New Roman" w:hAnsi="Times New Roman" w:cs="Times New Roman"/>
          <w:b w:val="0"/>
          <w:sz w:val="24"/>
          <w:szCs w:val="24"/>
          <w:u w:val="single"/>
        </w:rPr>
        <w:t>In Rem</w:t>
      </w:r>
      <w:r w:rsidR="00193644" w:rsidRPr="00353342">
        <w:rPr>
          <w:rFonts w:ascii="Times New Roman" w:hAnsi="Times New Roman" w:cs="Times New Roman"/>
          <w:b w:val="0"/>
          <w:i w:val="0"/>
          <w:sz w:val="24"/>
          <w:szCs w:val="24"/>
          <w:u w:val="single"/>
        </w:rPr>
        <w:t xml:space="preserve"> Foreclosure Action</w:t>
      </w:r>
    </w:p>
    <w:p w:rsidR="005A5899" w:rsidRPr="00BC2FB7" w:rsidRDefault="00EB66CE" w:rsidP="009002E1">
      <w:pPr>
        <w:spacing w:after="0" w:line="480" w:lineRule="auto"/>
        <w:ind w:firstLine="720"/>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 xml:space="preserve">To initiate an </w:t>
      </w:r>
      <w:r w:rsidR="00204CAD" w:rsidRPr="005E5054">
        <w:rPr>
          <w:rFonts w:ascii="Times New Roman" w:eastAsia="Times New Roman" w:hAnsi="Times New Roman"/>
          <w:i/>
          <w:color w:val="212121"/>
          <w:sz w:val="24"/>
          <w:szCs w:val="24"/>
        </w:rPr>
        <w:t>in rem</w:t>
      </w:r>
      <w:r w:rsidR="00204CAD">
        <w:rPr>
          <w:rFonts w:ascii="Times New Roman" w:eastAsia="Times New Roman" w:hAnsi="Times New Roman"/>
          <w:color w:val="212121"/>
          <w:sz w:val="24"/>
          <w:szCs w:val="24"/>
        </w:rPr>
        <w:t xml:space="preserve"> foreclosure action</w:t>
      </w:r>
      <w:r w:rsidR="00117A7D">
        <w:rPr>
          <w:rFonts w:ascii="Times New Roman" w:eastAsia="Times New Roman" w:hAnsi="Times New Roman"/>
          <w:color w:val="212121"/>
          <w:sz w:val="24"/>
          <w:szCs w:val="24"/>
        </w:rPr>
        <w:t xml:space="preserve"> in </w:t>
      </w:r>
      <w:r w:rsidR="008B1382">
        <w:rPr>
          <w:rFonts w:ascii="Times New Roman" w:eastAsia="Times New Roman" w:hAnsi="Times New Roman"/>
          <w:color w:val="212121"/>
          <w:sz w:val="24"/>
          <w:szCs w:val="24"/>
        </w:rPr>
        <w:t>S</w:t>
      </w:r>
      <w:r w:rsidR="00117A7D">
        <w:rPr>
          <w:rFonts w:ascii="Times New Roman" w:eastAsia="Times New Roman" w:hAnsi="Times New Roman"/>
          <w:color w:val="212121"/>
          <w:sz w:val="24"/>
          <w:szCs w:val="24"/>
        </w:rPr>
        <w:t>tate court</w:t>
      </w:r>
      <w:r w:rsidR="00204CAD">
        <w:rPr>
          <w:rFonts w:ascii="Times New Roman" w:eastAsia="Times New Roman" w:hAnsi="Times New Roman"/>
          <w:color w:val="212121"/>
          <w:sz w:val="24"/>
          <w:szCs w:val="24"/>
        </w:rPr>
        <w:t>,</w:t>
      </w:r>
      <w:r w:rsidR="00193644">
        <w:rPr>
          <w:rFonts w:ascii="Times New Roman" w:eastAsia="Times New Roman" w:hAnsi="Times New Roman"/>
          <w:color w:val="212121"/>
          <w:sz w:val="24"/>
          <w:szCs w:val="24"/>
        </w:rPr>
        <w:t xml:space="preserve"> the Administrative Code requires the </w:t>
      </w:r>
      <w:r w:rsidR="004E7F67">
        <w:rPr>
          <w:rFonts w:ascii="Times New Roman" w:eastAsia="Times New Roman" w:hAnsi="Times New Roman"/>
          <w:color w:val="212121"/>
          <w:sz w:val="24"/>
          <w:szCs w:val="24"/>
        </w:rPr>
        <w:t xml:space="preserve">DOF </w:t>
      </w:r>
      <w:r w:rsidR="00193644">
        <w:rPr>
          <w:rFonts w:ascii="Times New Roman" w:eastAsia="Times New Roman" w:hAnsi="Times New Roman"/>
          <w:color w:val="212121"/>
          <w:sz w:val="24"/>
          <w:szCs w:val="24"/>
        </w:rPr>
        <w:t xml:space="preserve">Commissioner to prepare a list of properties </w:t>
      </w:r>
      <w:r w:rsidR="00F71A05">
        <w:rPr>
          <w:rFonts w:ascii="Times New Roman" w:eastAsia="Times New Roman" w:hAnsi="Times New Roman"/>
          <w:color w:val="212121"/>
          <w:sz w:val="24"/>
          <w:szCs w:val="24"/>
        </w:rPr>
        <w:t>with</w:t>
      </w:r>
      <w:r w:rsidR="00193644">
        <w:rPr>
          <w:rFonts w:ascii="Times New Roman" w:eastAsia="Times New Roman" w:hAnsi="Times New Roman"/>
          <w:color w:val="212121"/>
          <w:sz w:val="24"/>
          <w:szCs w:val="24"/>
        </w:rPr>
        <w:t xml:space="preserve"> tax liens subject to foreclosure that are within a particular borough or section of a tax map, provided that no</w:t>
      </w:r>
      <w:r w:rsidR="005E5054">
        <w:rPr>
          <w:rFonts w:ascii="Times New Roman" w:eastAsia="Times New Roman" w:hAnsi="Times New Roman"/>
          <w:color w:val="212121"/>
          <w:sz w:val="24"/>
          <w:szCs w:val="24"/>
        </w:rPr>
        <w:t>ne of the areas specified</w:t>
      </w:r>
      <w:r w:rsidR="00193644">
        <w:rPr>
          <w:rFonts w:ascii="Times New Roman" w:eastAsia="Times New Roman" w:hAnsi="Times New Roman"/>
          <w:color w:val="212121"/>
          <w:sz w:val="24"/>
          <w:szCs w:val="24"/>
        </w:rPr>
        <w:t xml:space="preserve"> </w:t>
      </w:r>
      <w:r w:rsidR="0088677C">
        <w:rPr>
          <w:rFonts w:ascii="Times New Roman" w:eastAsia="Times New Roman" w:hAnsi="Times New Roman"/>
          <w:color w:val="212121"/>
          <w:sz w:val="24"/>
          <w:szCs w:val="24"/>
        </w:rPr>
        <w:t>are</w:t>
      </w:r>
      <w:r w:rsidR="00514740">
        <w:rPr>
          <w:rFonts w:ascii="Times New Roman" w:eastAsia="Times New Roman" w:hAnsi="Times New Roman"/>
          <w:color w:val="212121"/>
          <w:sz w:val="24"/>
          <w:szCs w:val="24"/>
        </w:rPr>
        <w:t xml:space="preserve"> </w:t>
      </w:r>
      <w:r w:rsidR="00193644">
        <w:rPr>
          <w:rFonts w:ascii="Times New Roman" w:eastAsia="Times New Roman" w:hAnsi="Times New Roman"/>
          <w:color w:val="212121"/>
          <w:sz w:val="24"/>
          <w:szCs w:val="24"/>
        </w:rPr>
        <w:t>smaller than a tax block.</w:t>
      </w:r>
      <w:r w:rsidR="00193644">
        <w:rPr>
          <w:rStyle w:val="FootnoteReference"/>
          <w:rFonts w:ascii="Times New Roman" w:eastAsia="Times New Roman" w:hAnsi="Times New Roman"/>
          <w:color w:val="212121"/>
          <w:sz w:val="24"/>
          <w:szCs w:val="24"/>
        </w:rPr>
        <w:footnoteReference w:id="21"/>
      </w:r>
      <w:r w:rsidR="00193644">
        <w:rPr>
          <w:rFonts w:ascii="Times New Roman" w:eastAsia="Times New Roman" w:hAnsi="Times New Roman"/>
          <w:color w:val="212121"/>
          <w:sz w:val="24"/>
          <w:szCs w:val="24"/>
        </w:rPr>
        <w:t xml:space="preserve"> The City interpret</w:t>
      </w:r>
      <w:r w:rsidR="005A5899">
        <w:rPr>
          <w:rFonts w:ascii="Times New Roman" w:eastAsia="Times New Roman" w:hAnsi="Times New Roman"/>
          <w:color w:val="212121"/>
          <w:sz w:val="24"/>
          <w:szCs w:val="24"/>
        </w:rPr>
        <w:t>s</w:t>
      </w:r>
      <w:r w:rsidR="00193644">
        <w:rPr>
          <w:rFonts w:ascii="Times New Roman" w:eastAsia="Times New Roman" w:hAnsi="Times New Roman"/>
          <w:color w:val="212121"/>
          <w:sz w:val="24"/>
          <w:szCs w:val="24"/>
        </w:rPr>
        <w:t xml:space="preserve"> this provision to mean that once it commences an </w:t>
      </w:r>
      <w:r w:rsidR="00193644" w:rsidRPr="00CD3217">
        <w:rPr>
          <w:rFonts w:ascii="Times New Roman" w:eastAsia="Times New Roman" w:hAnsi="Times New Roman"/>
          <w:i/>
          <w:color w:val="212121"/>
          <w:sz w:val="24"/>
          <w:szCs w:val="24"/>
        </w:rPr>
        <w:t>in rem</w:t>
      </w:r>
      <w:r w:rsidR="00193644">
        <w:rPr>
          <w:rFonts w:ascii="Times New Roman" w:eastAsia="Times New Roman" w:hAnsi="Times New Roman"/>
          <w:color w:val="212121"/>
          <w:sz w:val="24"/>
          <w:szCs w:val="24"/>
        </w:rPr>
        <w:t xml:space="preserve"> foreclosure action, it is required to </w:t>
      </w:r>
      <w:r w:rsidR="009002E1">
        <w:rPr>
          <w:rFonts w:ascii="Times New Roman" w:eastAsia="Times New Roman" w:hAnsi="Times New Roman"/>
          <w:color w:val="212121"/>
          <w:sz w:val="24"/>
          <w:szCs w:val="24"/>
        </w:rPr>
        <w:t>include in</w:t>
      </w:r>
      <w:r w:rsidR="00F46943">
        <w:rPr>
          <w:rFonts w:ascii="Times New Roman" w:eastAsia="Times New Roman" w:hAnsi="Times New Roman"/>
          <w:color w:val="212121"/>
          <w:sz w:val="24"/>
          <w:szCs w:val="24"/>
        </w:rPr>
        <w:t xml:space="preserve"> the foreclosure action </w:t>
      </w:r>
      <w:r w:rsidR="00193644">
        <w:rPr>
          <w:rFonts w:ascii="Times New Roman" w:eastAsia="Times New Roman" w:hAnsi="Times New Roman"/>
          <w:color w:val="212121"/>
          <w:sz w:val="24"/>
          <w:szCs w:val="24"/>
        </w:rPr>
        <w:t>all tax delinquent proper</w:t>
      </w:r>
      <w:r w:rsidR="008A3E12">
        <w:rPr>
          <w:rFonts w:ascii="Times New Roman" w:eastAsia="Times New Roman" w:hAnsi="Times New Roman"/>
          <w:color w:val="212121"/>
          <w:sz w:val="24"/>
          <w:szCs w:val="24"/>
        </w:rPr>
        <w:t>ties in a particular tax class o</w:t>
      </w:r>
      <w:r w:rsidR="00193644">
        <w:rPr>
          <w:rFonts w:ascii="Times New Roman" w:eastAsia="Times New Roman" w:hAnsi="Times New Roman"/>
          <w:color w:val="212121"/>
          <w:sz w:val="24"/>
          <w:szCs w:val="24"/>
        </w:rPr>
        <w:t xml:space="preserve">n the same tax block as any </w:t>
      </w:r>
      <w:r w:rsidR="00B53988">
        <w:rPr>
          <w:rFonts w:ascii="Times New Roman" w:eastAsia="Times New Roman" w:hAnsi="Times New Roman"/>
          <w:color w:val="212121"/>
          <w:sz w:val="24"/>
          <w:szCs w:val="24"/>
        </w:rPr>
        <w:t xml:space="preserve">other property </w:t>
      </w:r>
      <w:r w:rsidR="00193644">
        <w:rPr>
          <w:rFonts w:ascii="Times New Roman" w:eastAsia="Times New Roman" w:hAnsi="Times New Roman"/>
          <w:color w:val="212121"/>
          <w:sz w:val="24"/>
          <w:szCs w:val="24"/>
        </w:rPr>
        <w:t>selected</w:t>
      </w:r>
      <w:r w:rsidR="007C6349">
        <w:rPr>
          <w:rFonts w:ascii="Times New Roman" w:eastAsia="Times New Roman" w:hAnsi="Times New Roman"/>
          <w:color w:val="212121"/>
          <w:sz w:val="24"/>
          <w:szCs w:val="24"/>
        </w:rPr>
        <w:t>.</w:t>
      </w:r>
      <w:r w:rsidR="007C6349" w:rsidRPr="007C6349">
        <w:rPr>
          <w:rStyle w:val="FootnoteReference"/>
          <w:rFonts w:ascii="Times New Roman" w:eastAsia="Times New Roman" w:hAnsi="Times New Roman"/>
          <w:color w:val="212121"/>
          <w:sz w:val="24"/>
          <w:szCs w:val="24"/>
        </w:rPr>
        <w:t xml:space="preserve"> </w:t>
      </w:r>
      <w:r w:rsidR="007C6349">
        <w:rPr>
          <w:rStyle w:val="FootnoteReference"/>
          <w:rFonts w:ascii="Times New Roman" w:eastAsia="Times New Roman" w:hAnsi="Times New Roman"/>
          <w:color w:val="212121"/>
          <w:sz w:val="24"/>
          <w:szCs w:val="24"/>
        </w:rPr>
        <w:footnoteReference w:id="22"/>
      </w:r>
      <w:r w:rsidR="009002E1">
        <w:rPr>
          <w:rFonts w:ascii="Times New Roman" w:eastAsia="Times New Roman" w:hAnsi="Times New Roman"/>
          <w:color w:val="212121"/>
          <w:sz w:val="24"/>
          <w:szCs w:val="24"/>
        </w:rPr>
        <w:t xml:space="preserve"> </w:t>
      </w:r>
      <w:r w:rsidR="007C6349">
        <w:rPr>
          <w:rFonts w:ascii="Times New Roman" w:eastAsia="Times New Roman" w:hAnsi="Times New Roman"/>
          <w:color w:val="212121"/>
          <w:sz w:val="24"/>
          <w:szCs w:val="24"/>
        </w:rPr>
        <w:t xml:space="preserve">This means that a property does not have to meet </w:t>
      </w:r>
      <w:r w:rsidR="00193644">
        <w:rPr>
          <w:rFonts w:ascii="Times New Roman" w:eastAsia="Times New Roman" w:hAnsi="Times New Roman"/>
          <w:color w:val="212121"/>
          <w:sz w:val="24"/>
          <w:szCs w:val="24"/>
        </w:rPr>
        <w:t>the statutory definition of “distressed</w:t>
      </w:r>
      <w:r w:rsidR="007C6349">
        <w:rPr>
          <w:rFonts w:ascii="Times New Roman" w:eastAsia="Times New Roman" w:hAnsi="Times New Roman"/>
          <w:color w:val="212121"/>
          <w:sz w:val="24"/>
          <w:szCs w:val="24"/>
        </w:rPr>
        <w:t>” to be included in a foreclosure action; rather, all that is necessary is that the property have a tax lien and be located on the same block as another property designated for foreclosure</w:t>
      </w:r>
      <w:r w:rsidR="006051AE">
        <w:rPr>
          <w:rFonts w:ascii="Times New Roman" w:eastAsia="Times New Roman" w:hAnsi="Times New Roman"/>
          <w:color w:val="212121"/>
          <w:sz w:val="24"/>
          <w:szCs w:val="24"/>
        </w:rPr>
        <w:t>.</w:t>
      </w:r>
      <w:r w:rsidR="00193644">
        <w:rPr>
          <w:rFonts w:ascii="Times New Roman" w:eastAsia="Times New Roman" w:hAnsi="Times New Roman"/>
          <w:color w:val="212121"/>
          <w:sz w:val="24"/>
          <w:szCs w:val="24"/>
        </w:rPr>
        <w:t xml:space="preserve"> </w:t>
      </w:r>
      <w:r w:rsidR="007C4060" w:rsidRPr="00BC2FB7">
        <w:rPr>
          <w:rFonts w:ascii="Times New Roman" w:eastAsia="Times New Roman" w:hAnsi="Times New Roman"/>
          <w:i/>
          <w:color w:val="212121"/>
          <w:sz w:val="24"/>
          <w:szCs w:val="24"/>
        </w:rPr>
        <w:t>In rem</w:t>
      </w:r>
      <w:r w:rsidR="009002E1">
        <w:rPr>
          <w:rFonts w:ascii="Times New Roman" w:eastAsia="Times New Roman" w:hAnsi="Times New Roman"/>
          <w:color w:val="212121"/>
          <w:sz w:val="24"/>
          <w:szCs w:val="24"/>
        </w:rPr>
        <w:t xml:space="preserve"> foreclosure actions are </w:t>
      </w:r>
      <w:r w:rsidR="007C4060">
        <w:rPr>
          <w:rFonts w:ascii="Times New Roman" w:eastAsia="Times New Roman" w:hAnsi="Times New Roman"/>
          <w:color w:val="212121"/>
          <w:sz w:val="24"/>
          <w:szCs w:val="24"/>
        </w:rPr>
        <w:t xml:space="preserve">filed in </w:t>
      </w:r>
      <w:r w:rsidR="001A4FDC">
        <w:rPr>
          <w:rFonts w:ascii="Times New Roman" w:eastAsia="Times New Roman" w:hAnsi="Times New Roman"/>
          <w:color w:val="212121"/>
          <w:sz w:val="24"/>
          <w:szCs w:val="24"/>
        </w:rPr>
        <w:t xml:space="preserve">the Supreme Court of </w:t>
      </w:r>
      <w:r w:rsidR="007C4060">
        <w:rPr>
          <w:rFonts w:ascii="Times New Roman" w:eastAsia="Times New Roman" w:hAnsi="Times New Roman"/>
          <w:color w:val="212121"/>
          <w:sz w:val="24"/>
          <w:szCs w:val="24"/>
        </w:rPr>
        <w:t>each borough and each action encompasses all properties designated for foreclosure in that borough.</w:t>
      </w:r>
      <w:r w:rsidR="00C4186F">
        <w:rPr>
          <w:rStyle w:val="FootnoteReference"/>
          <w:rFonts w:ascii="Times New Roman" w:eastAsia="Times New Roman" w:hAnsi="Times New Roman"/>
          <w:color w:val="212121"/>
          <w:sz w:val="24"/>
          <w:szCs w:val="24"/>
        </w:rPr>
        <w:footnoteReference w:id="23"/>
      </w:r>
    </w:p>
    <w:p w:rsidR="00193644" w:rsidRPr="007A1699" w:rsidRDefault="00193644" w:rsidP="00897FE0">
      <w:pPr>
        <w:pStyle w:val="Heading2"/>
        <w:spacing w:before="0" w:after="0"/>
        <w:rPr>
          <w:rFonts w:ascii="Times New Roman" w:hAnsi="Times New Roman" w:cs="Times New Roman"/>
          <w:b w:val="0"/>
          <w:i w:val="0"/>
          <w:sz w:val="24"/>
          <w:szCs w:val="24"/>
          <w:u w:val="single"/>
        </w:rPr>
      </w:pPr>
      <w:r w:rsidRPr="007A1699">
        <w:rPr>
          <w:rFonts w:ascii="Times New Roman" w:hAnsi="Times New Roman" w:cs="Times New Roman"/>
          <w:b w:val="0"/>
          <w:i w:val="0"/>
          <w:sz w:val="24"/>
          <w:szCs w:val="24"/>
          <w:u w:val="single"/>
        </w:rPr>
        <w:t>Homeowner</w:t>
      </w:r>
      <w:r w:rsidR="00B36BBA" w:rsidRPr="007A1699">
        <w:rPr>
          <w:rFonts w:ascii="Times New Roman" w:hAnsi="Times New Roman" w:cs="Times New Roman"/>
          <w:b w:val="0"/>
          <w:i w:val="0"/>
          <w:sz w:val="24"/>
          <w:szCs w:val="24"/>
          <w:u w:val="single"/>
        </w:rPr>
        <w:t xml:space="preserve"> </w:t>
      </w:r>
      <w:r w:rsidR="00F93CBD" w:rsidRPr="007A1699">
        <w:rPr>
          <w:rFonts w:ascii="Times New Roman" w:hAnsi="Times New Roman" w:cs="Times New Roman"/>
          <w:b w:val="0"/>
          <w:i w:val="0"/>
          <w:sz w:val="24"/>
          <w:szCs w:val="24"/>
          <w:u w:val="single"/>
        </w:rPr>
        <w:t xml:space="preserve">Notice and the </w:t>
      </w:r>
      <w:r w:rsidR="00B36BBA" w:rsidRPr="007A1699">
        <w:rPr>
          <w:rFonts w:ascii="Times New Roman" w:hAnsi="Times New Roman" w:cs="Times New Roman"/>
          <w:b w:val="0"/>
          <w:i w:val="0"/>
          <w:sz w:val="24"/>
          <w:szCs w:val="24"/>
          <w:u w:val="single"/>
        </w:rPr>
        <w:t>Property Redemption Process</w:t>
      </w:r>
    </w:p>
    <w:p w:rsidR="00897FE0" w:rsidRPr="00897FE0" w:rsidRDefault="00897FE0" w:rsidP="00897FE0">
      <w:pPr>
        <w:spacing w:after="0"/>
      </w:pPr>
    </w:p>
    <w:p w:rsidR="00193644" w:rsidRDefault="00193644" w:rsidP="00897FE0">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City </w:t>
      </w:r>
      <w:r w:rsidR="008B1382">
        <w:rPr>
          <w:rFonts w:ascii="Times New Roman" w:hAnsi="Times New Roman"/>
          <w:sz w:val="24"/>
          <w:szCs w:val="24"/>
        </w:rPr>
        <w:t>claims</w:t>
      </w:r>
      <w:r>
        <w:rPr>
          <w:rFonts w:ascii="Times New Roman" w:hAnsi="Times New Roman"/>
          <w:sz w:val="24"/>
          <w:szCs w:val="24"/>
        </w:rPr>
        <w:t xml:space="preserve"> that it sends tax bills and warning notices to homeowners whose properties </w:t>
      </w:r>
      <w:r w:rsidR="00C51D29">
        <w:rPr>
          <w:rFonts w:ascii="Times New Roman" w:hAnsi="Times New Roman"/>
          <w:sz w:val="24"/>
          <w:szCs w:val="24"/>
        </w:rPr>
        <w:t xml:space="preserve">have been included in TPT and thus </w:t>
      </w:r>
      <w:r>
        <w:rPr>
          <w:rFonts w:ascii="Times New Roman" w:hAnsi="Times New Roman"/>
          <w:sz w:val="24"/>
          <w:szCs w:val="24"/>
        </w:rPr>
        <w:t xml:space="preserve">are at risk </w:t>
      </w:r>
      <w:r w:rsidR="00C51D29">
        <w:rPr>
          <w:rFonts w:ascii="Times New Roman" w:hAnsi="Times New Roman"/>
          <w:sz w:val="24"/>
          <w:szCs w:val="24"/>
        </w:rPr>
        <w:t xml:space="preserve">of </w:t>
      </w:r>
      <w:r>
        <w:rPr>
          <w:rFonts w:ascii="Times New Roman" w:hAnsi="Times New Roman"/>
          <w:sz w:val="24"/>
          <w:szCs w:val="24"/>
        </w:rPr>
        <w:t>foreclosure, prior to the filing of a foreclosure action.</w:t>
      </w:r>
      <w:r w:rsidR="002D3F86">
        <w:rPr>
          <w:rStyle w:val="FootnoteReference"/>
          <w:rFonts w:ascii="Times New Roman" w:hAnsi="Times New Roman"/>
          <w:sz w:val="24"/>
          <w:szCs w:val="24"/>
        </w:rPr>
        <w:footnoteReference w:id="24"/>
      </w:r>
      <w:r>
        <w:rPr>
          <w:rFonts w:ascii="Times New Roman" w:hAnsi="Times New Roman"/>
          <w:sz w:val="24"/>
          <w:szCs w:val="24"/>
        </w:rPr>
        <w:t xml:space="preserve"> Owners of properties facing foreclosure </w:t>
      </w:r>
      <w:r w:rsidRPr="00120032">
        <w:rPr>
          <w:rFonts w:ascii="Times New Roman" w:hAnsi="Times New Roman"/>
          <w:sz w:val="24"/>
          <w:szCs w:val="24"/>
        </w:rPr>
        <w:t xml:space="preserve">can pay the full amount </w:t>
      </w:r>
      <w:r>
        <w:rPr>
          <w:rFonts w:ascii="Times New Roman" w:hAnsi="Times New Roman"/>
          <w:sz w:val="24"/>
          <w:szCs w:val="24"/>
        </w:rPr>
        <w:t>of taxes</w:t>
      </w:r>
      <w:r w:rsidR="008A3E12">
        <w:rPr>
          <w:rFonts w:ascii="Times New Roman" w:hAnsi="Times New Roman"/>
          <w:sz w:val="24"/>
          <w:szCs w:val="24"/>
        </w:rPr>
        <w:t xml:space="preserve"> </w:t>
      </w:r>
      <w:r w:rsidR="009A7086">
        <w:rPr>
          <w:rFonts w:ascii="Times New Roman" w:hAnsi="Times New Roman"/>
          <w:sz w:val="24"/>
          <w:szCs w:val="24"/>
        </w:rPr>
        <w:t>outstanding</w:t>
      </w:r>
      <w:r w:rsidR="008A3E12">
        <w:rPr>
          <w:rFonts w:ascii="Times New Roman" w:hAnsi="Times New Roman"/>
          <w:sz w:val="24"/>
          <w:szCs w:val="24"/>
        </w:rPr>
        <w:t xml:space="preserve"> </w:t>
      </w:r>
      <w:r w:rsidRPr="00120032">
        <w:rPr>
          <w:rFonts w:ascii="Times New Roman" w:hAnsi="Times New Roman"/>
          <w:sz w:val="24"/>
          <w:szCs w:val="24"/>
        </w:rPr>
        <w:t>or enter into an installment payment agreement</w:t>
      </w:r>
      <w:r>
        <w:rPr>
          <w:rFonts w:ascii="Times New Roman" w:hAnsi="Times New Roman"/>
          <w:sz w:val="24"/>
          <w:szCs w:val="24"/>
        </w:rPr>
        <w:t xml:space="preserve"> to have their properties removed from </w:t>
      </w:r>
      <w:r w:rsidR="008B1382">
        <w:rPr>
          <w:rFonts w:ascii="Times New Roman" w:hAnsi="Times New Roman"/>
          <w:sz w:val="24"/>
          <w:szCs w:val="24"/>
        </w:rPr>
        <w:t>TPT</w:t>
      </w:r>
      <w:r w:rsidRPr="00120032">
        <w:rPr>
          <w:rFonts w:ascii="Times New Roman" w:hAnsi="Times New Roman"/>
          <w:sz w:val="24"/>
          <w:szCs w:val="24"/>
        </w:rPr>
        <w:t>.</w:t>
      </w:r>
      <w:r>
        <w:rPr>
          <w:rStyle w:val="FootnoteReference"/>
          <w:rFonts w:ascii="Times New Roman" w:hAnsi="Times New Roman"/>
          <w:sz w:val="24"/>
          <w:szCs w:val="24"/>
        </w:rPr>
        <w:footnoteReference w:id="25"/>
      </w:r>
      <w:r w:rsidRPr="00120032">
        <w:rPr>
          <w:rFonts w:ascii="Times New Roman" w:hAnsi="Times New Roman"/>
          <w:sz w:val="24"/>
          <w:szCs w:val="24"/>
        </w:rPr>
        <w:t xml:space="preserve"> </w:t>
      </w:r>
      <w:r>
        <w:rPr>
          <w:rFonts w:ascii="Times New Roman" w:hAnsi="Times New Roman"/>
          <w:sz w:val="24"/>
          <w:szCs w:val="24"/>
        </w:rPr>
        <w:t xml:space="preserve"> </w:t>
      </w:r>
    </w:p>
    <w:p w:rsidR="00193644" w:rsidRDefault="00193644" w:rsidP="00193644">
      <w:pPr>
        <w:spacing w:after="0" w:line="480" w:lineRule="auto"/>
        <w:ind w:firstLine="720"/>
        <w:jc w:val="both"/>
        <w:rPr>
          <w:rFonts w:ascii="Times New Roman" w:hAnsi="Times New Roman"/>
          <w:sz w:val="24"/>
          <w:szCs w:val="24"/>
        </w:rPr>
      </w:pPr>
      <w:r>
        <w:rPr>
          <w:rFonts w:ascii="Times New Roman" w:hAnsi="Times New Roman"/>
          <w:sz w:val="24"/>
          <w:szCs w:val="24"/>
        </w:rPr>
        <w:t xml:space="preserve">Once an </w:t>
      </w:r>
      <w:r w:rsidRPr="00E921CD">
        <w:rPr>
          <w:rFonts w:ascii="Times New Roman" w:hAnsi="Times New Roman"/>
          <w:i/>
          <w:sz w:val="24"/>
          <w:szCs w:val="24"/>
        </w:rPr>
        <w:t>in rem</w:t>
      </w:r>
      <w:r>
        <w:rPr>
          <w:rFonts w:ascii="Times New Roman" w:hAnsi="Times New Roman"/>
          <w:sz w:val="24"/>
          <w:szCs w:val="24"/>
        </w:rPr>
        <w:t xml:space="preserve"> foreclosure action has been filed, the City is required to mail additional foreclosure notices to all </w:t>
      </w:r>
      <w:r w:rsidR="00194D59">
        <w:rPr>
          <w:rFonts w:ascii="Times New Roman" w:hAnsi="Times New Roman"/>
          <w:sz w:val="24"/>
          <w:szCs w:val="24"/>
        </w:rPr>
        <w:t>homeowner</w:t>
      </w:r>
      <w:r>
        <w:rPr>
          <w:rFonts w:ascii="Times New Roman" w:hAnsi="Times New Roman"/>
          <w:sz w:val="24"/>
          <w:szCs w:val="24"/>
        </w:rPr>
        <w:t>s</w:t>
      </w:r>
      <w:r w:rsidR="00274624">
        <w:rPr>
          <w:rFonts w:ascii="Times New Roman" w:hAnsi="Times New Roman"/>
          <w:sz w:val="24"/>
          <w:szCs w:val="24"/>
        </w:rPr>
        <w:t xml:space="preserve"> whose properties have been included in the action</w:t>
      </w:r>
      <w:r>
        <w:rPr>
          <w:rFonts w:ascii="Times New Roman" w:hAnsi="Times New Roman"/>
          <w:sz w:val="24"/>
          <w:szCs w:val="24"/>
        </w:rPr>
        <w:t>, as well as to publish the notices of foreclosure in newspapers and post them in courthouses and other conspicuous places in the boroughs in which the properties are located</w:t>
      </w:r>
      <w:r w:rsidRPr="00120032">
        <w:rPr>
          <w:rFonts w:ascii="Times New Roman" w:hAnsi="Times New Roman"/>
          <w:sz w:val="24"/>
          <w:szCs w:val="24"/>
        </w:rPr>
        <w:t>.</w:t>
      </w:r>
      <w:r w:rsidRPr="00120032">
        <w:rPr>
          <w:rStyle w:val="FootnoteReference"/>
          <w:rFonts w:ascii="Times New Roman" w:hAnsi="Times New Roman"/>
          <w:sz w:val="24"/>
          <w:szCs w:val="24"/>
        </w:rPr>
        <w:footnoteReference w:id="26"/>
      </w:r>
      <w:r>
        <w:rPr>
          <w:rFonts w:ascii="Times New Roman" w:hAnsi="Times New Roman"/>
          <w:sz w:val="24"/>
          <w:szCs w:val="24"/>
        </w:rPr>
        <w:t xml:space="preserve"> At this point, </w:t>
      </w:r>
      <w:r w:rsidR="004E7F67">
        <w:rPr>
          <w:rFonts w:ascii="Times New Roman" w:hAnsi="Times New Roman"/>
          <w:sz w:val="24"/>
          <w:szCs w:val="24"/>
        </w:rPr>
        <w:t xml:space="preserve">an </w:t>
      </w:r>
      <w:r>
        <w:rPr>
          <w:rFonts w:ascii="Times New Roman" w:hAnsi="Times New Roman"/>
          <w:sz w:val="24"/>
          <w:szCs w:val="24"/>
        </w:rPr>
        <w:t>owner</w:t>
      </w:r>
      <w:r w:rsidR="004E7F67">
        <w:rPr>
          <w:rFonts w:ascii="Times New Roman" w:hAnsi="Times New Roman"/>
          <w:sz w:val="24"/>
          <w:szCs w:val="24"/>
        </w:rPr>
        <w:t xml:space="preserve"> </w:t>
      </w:r>
      <w:r>
        <w:rPr>
          <w:rFonts w:ascii="Times New Roman" w:hAnsi="Times New Roman"/>
          <w:sz w:val="24"/>
          <w:szCs w:val="24"/>
        </w:rPr>
        <w:t xml:space="preserve">can still </w:t>
      </w:r>
      <w:r w:rsidR="00442725">
        <w:rPr>
          <w:rFonts w:ascii="Times New Roman" w:hAnsi="Times New Roman"/>
          <w:sz w:val="24"/>
          <w:szCs w:val="24"/>
        </w:rPr>
        <w:t xml:space="preserve">remove </w:t>
      </w:r>
      <w:r>
        <w:rPr>
          <w:rFonts w:ascii="Times New Roman" w:hAnsi="Times New Roman"/>
          <w:sz w:val="24"/>
          <w:szCs w:val="24"/>
        </w:rPr>
        <w:t>their propert</w:t>
      </w:r>
      <w:r w:rsidR="004E7F67">
        <w:rPr>
          <w:rFonts w:ascii="Times New Roman" w:hAnsi="Times New Roman"/>
          <w:sz w:val="24"/>
          <w:szCs w:val="24"/>
        </w:rPr>
        <w:t>y</w:t>
      </w:r>
      <w:r>
        <w:rPr>
          <w:rFonts w:ascii="Times New Roman" w:hAnsi="Times New Roman"/>
          <w:sz w:val="24"/>
          <w:szCs w:val="24"/>
        </w:rPr>
        <w:t xml:space="preserve"> from the Program by either paying the ful</w:t>
      </w:r>
      <w:r w:rsidR="00897FE0">
        <w:rPr>
          <w:rFonts w:ascii="Times New Roman" w:hAnsi="Times New Roman"/>
          <w:sz w:val="24"/>
          <w:szCs w:val="24"/>
        </w:rPr>
        <w:t>l amount of taxes outstanding or</w:t>
      </w:r>
      <w:r>
        <w:rPr>
          <w:rFonts w:ascii="Times New Roman" w:hAnsi="Times New Roman"/>
          <w:sz w:val="24"/>
          <w:szCs w:val="24"/>
        </w:rPr>
        <w:t xml:space="preserve"> entering into an installment payment agreement.</w:t>
      </w:r>
      <w:r>
        <w:rPr>
          <w:rStyle w:val="FootnoteReference"/>
          <w:rFonts w:ascii="Times New Roman" w:hAnsi="Times New Roman"/>
          <w:sz w:val="24"/>
          <w:szCs w:val="24"/>
        </w:rPr>
        <w:footnoteReference w:id="27"/>
      </w:r>
      <w:r>
        <w:rPr>
          <w:rFonts w:ascii="Times New Roman" w:hAnsi="Times New Roman"/>
          <w:sz w:val="24"/>
          <w:szCs w:val="24"/>
        </w:rPr>
        <w:t xml:space="preserve"> </w:t>
      </w:r>
      <w:r w:rsidR="004E7F67">
        <w:rPr>
          <w:rFonts w:ascii="Times New Roman" w:hAnsi="Times New Roman"/>
          <w:sz w:val="24"/>
          <w:szCs w:val="24"/>
        </w:rPr>
        <w:t xml:space="preserve">The terms of such agreements become more onerous </w:t>
      </w:r>
      <w:r w:rsidR="00F93CBD">
        <w:rPr>
          <w:rFonts w:ascii="Times New Roman" w:hAnsi="Times New Roman"/>
          <w:sz w:val="24"/>
          <w:szCs w:val="24"/>
        </w:rPr>
        <w:t xml:space="preserve">as time passes </w:t>
      </w:r>
      <w:r w:rsidR="004E7F67">
        <w:rPr>
          <w:rFonts w:ascii="Times New Roman" w:hAnsi="Times New Roman"/>
          <w:sz w:val="24"/>
          <w:szCs w:val="24"/>
        </w:rPr>
        <w:t>in the TPT process</w:t>
      </w:r>
      <w:r>
        <w:rPr>
          <w:rFonts w:ascii="Times New Roman" w:hAnsi="Times New Roman"/>
          <w:sz w:val="24"/>
          <w:szCs w:val="24"/>
        </w:rPr>
        <w:t>.</w:t>
      </w:r>
      <w:r>
        <w:rPr>
          <w:rStyle w:val="FootnoteReference"/>
          <w:rFonts w:ascii="Times New Roman" w:hAnsi="Times New Roman"/>
          <w:sz w:val="24"/>
          <w:szCs w:val="24"/>
        </w:rPr>
        <w:footnoteReference w:id="28"/>
      </w:r>
      <w:r>
        <w:rPr>
          <w:rFonts w:ascii="Times New Roman" w:hAnsi="Times New Roman"/>
          <w:sz w:val="24"/>
          <w:szCs w:val="24"/>
        </w:rPr>
        <w:t xml:space="preserve"> </w:t>
      </w:r>
      <w:r w:rsidRPr="00120032">
        <w:rPr>
          <w:rFonts w:ascii="Times New Roman" w:hAnsi="Times New Roman"/>
          <w:sz w:val="24"/>
          <w:szCs w:val="24"/>
        </w:rPr>
        <w:t xml:space="preserve">  </w:t>
      </w:r>
    </w:p>
    <w:p w:rsidR="00193644" w:rsidRDefault="00193644" w:rsidP="00353342">
      <w:pPr>
        <w:pStyle w:val="Heading2"/>
        <w:spacing w:before="0" w:after="0"/>
        <w:rPr>
          <w:rFonts w:ascii="Times New Roman" w:hAnsi="Times New Roman" w:cs="Times New Roman"/>
          <w:b w:val="0"/>
          <w:i w:val="0"/>
          <w:sz w:val="24"/>
          <w:szCs w:val="24"/>
          <w:u w:val="single"/>
        </w:rPr>
      </w:pPr>
      <w:r w:rsidRPr="00353342">
        <w:rPr>
          <w:rFonts w:ascii="Times New Roman" w:hAnsi="Times New Roman" w:cs="Times New Roman"/>
          <w:b w:val="0"/>
          <w:i w:val="0"/>
          <w:sz w:val="24"/>
          <w:szCs w:val="24"/>
          <w:u w:val="single"/>
        </w:rPr>
        <w:t>Court Ent</w:t>
      </w:r>
      <w:r w:rsidR="00F76CEE">
        <w:rPr>
          <w:rFonts w:ascii="Times New Roman" w:hAnsi="Times New Roman" w:cs="Times New Roman"/>
          <w:b w:val="0"/>
          <w:i w:val="0"/>
          <w:sz w:val="24"/>
          <w:szCs w:val="24"/>
          <w:u w:val="single"/>
        </w:rPr>
        <w:t xml:space="preserve">ry </w:t>
      </w:r>
      <w:r w:rsidRPr="00353342">
        <w:rPr>
          <w:rFonts w:ascii="Times New Roman" w:hAnsi="Times New Roman" w:cs="Times New Roman"/>
          <w:b w:val="0"/>
          <w:i w:val="0"/>
          <w:sz w:val="24"/>
          <w:szCs w:val="24"/>
          <w:u w:val="single"/>
        </w:rPr>
        <w:t xml:space="preserve">of Foreclosure </w:t>
      </w:r>
      <w:r w:rsidR="00F76CEE">
        <w:rPr>
          <w:rFonts w:ascii="Times New Roman" w:hAnsi="Times New Roman" w:cs="Times New Roman"/>
          <w:b w:val="0"/>
          <w:i w:val="0"/>
          <w:sz w:val="24"/>
          <w:szCs w:val="24"/>
          <w:u w:val="single"/>
        </w:rPr>
        <w:t>Judgment</w:t>
      </w:r>
      <w:r w:rsidR="00B5391B">
        <w:rPr>
          <w:rFonts w:ascii="Times New Roman" w:hAnsi="Times New Roman" w:cs="Times New Roman"/>
          <w:b w:val="0"/>
          <w:i w:val="0"/>
          <w:sz w:val="24"/>
          <w:szCs w:val="24"/>
          <w:u w:val="single"/>
        </w:rPr>
        <w:t xml:space="preserve"> and Four Month Redemption Period</w:t>
      </w:r>
    </w:p>
    <w:p w:rsidR="00353342" w:rsidRPr="00353342" w:rsidRDefault="00353342" w:rsidP="00353342">
      <w:pPr>
        <w:spacing w:after="0" w:line="240" w:lineRule="auto"/>
      </w:pPr>
    </w:p>
    <w:p w:rsidR="00193644" w:rsidRDefault="00442725" w:rsidP="009B6ADC">
      <w:pPr>
        <w:spacing w:after="0" w:line="480" w:lineRule="auto"/>
        <w:ind w:firstLine="720"/>
        <w:jc w:val="both"/>
        <w:rPr>
          <w:rFonts w:ascii="Times New Roman" w:hAnsi="Times New Roman"/>
          <w:sz w:val="24"/>
          <w:szCs w:val="24"/>
        </w:rPr>
      </w:pPr>
      <w:r>
        <w:rPr>
          <w:rFonts w:ascii="Times New Roman" w:hAnsi="Times New Roman"/>
          <w:sz w:val="24"/>
          <w:szCs w:val="24"/>
        </w:rPr>
        <w:t xml:space="preserve">A </w:t>
      </w:r>
      <w:r w:rsidR="00193644">
        <w:rPr>
          <w:rFonts w:ascii="Times New Roman" w:hAnsi="Times New Roman"/>
          <w:sz w:val="24"/>
          <w:szCs w:val="24"/>
        </w:rPr>
        <w:t xml:space="preserve">court will ultimately issue a final judgment of foreclosure awarding possession of the properties remaining in the </w:t>
      </w:r>
      <w:r w:rsidR="00193644" w:rsidRPr="00F90952">
        <w:rPr>
          <w:rFonts w:ascii="Times New Roman" w:hAnsi="Times New Roman"/>
          <w:i/>
          <w:sz w:val="24"/>
          <w:szCs w:val="24"/>
        </w:rPr>
        <w:t>in rem</w:t>
      </w:r>
      <w:r w:rsidR="004D3846">
        <w:rPr>
          <w:rFonts w:ascii="Times New Roman" w:hAnsi="Times New Roman"/>
          <w:sz w:val="24"/>
          <w:szCs w:val="24"/>
        </w:rPr>
        <w:t xml:space="preserve"> action </w:t>
      </w:r>
      <w:r w:rsidR="006051AE">
        <w:rPr>
          <w:rFonts w:ascii="Times New Roman" w:hAnsi="Times New Roman"/>
          <w:sz w:val="24"/>
          <w:szCs w:val="24"/>
        </w:rPr>
        <w:t xml:space="preserve">and </w:t>
      </w:r>
      <w:r w:rsidR="004D3846">
        <w:rPr>
          <w:rFonts w:ascii="Times New Roman" w:hAnsi="Times New Roman"/>
          <w:sz w:val="24"/>
          <w:szCs w:val="24"/>
        </w:rPr>
        <w:t xml:space="preserve">authorizing </w:t>
      </w:r>
      <w:r>
        <w:rPr>
          <w:rFonts w:ascii="Times New Roman" w:hAnsi="Times New Roman"/>
          <w:sz w:val="24"/>
          <w:szCs w:val="24"/>
        </w:rPr>
        <w:t>DOF</w:t>
      </w:r>
      <w:r w:rsidR="00F76CEE">
        <w:rPr>
          <w:rFonts w:ascii="Times New Roman" w:hAnsi="Times New Roman"/>
          <w:sz w:val="24"/>
          <w:szCs w:val="24"/>
        </w:rPr>
        <w:t xml:space="preserve"> </w:t>
      </w:r>
      <w:r w:rsidR="00193644">
        <w:rPr>
          <w:rFonts w:ascii="Times New Roman" w:hAnsi="Times New Roman"/>
          <w:sz w:val="24"/>
          <w:szCs w:val="24"/>
        </w:rPr>
        <w:t xml:space="preserve">to convey the </w:t>
      </w:r>
      <w:r w:rsidR="00897FE0">
        <w:rPr>
          <w:rFonts w:ascii="Times New Roman" w:hAnsi="Times New Roman"/>
          <w:sz w:val="24"/>
          <w:szCs w:val="24"/>
        </w:rPr>
        <w:t xml:space="preserve">property </w:t>
      </w:r>
      <w:r w:rsidR="00193644">
        <w:rPr>
          <w:rFonts w:ascii="Times New Roman" w:hAnsi="Times New Roman"/>
          <w:sz w:val="24"/>
          <w:szCs w:val="24"/>
        </w:rPr>
        <w:t xml:space="preserve">deeds to </w:t>
      </w:r>
      <w:r w:rsidR="00754599">
        <w:rPr>
          <w:rFonts w:ascii="Times New Roman" w:hAnsi="Times New Roman"/>
          <w:sz w:val="24"/>
          <w:szCs w:val="24"/>
        </w:rPr>
        <w:t xml:space="preserve">a </w:t>
      </w:r>
      <w:r w:rsidR="00193644">
        <w:rPr>
          <w:rFonts w:ascii="Times New Roman" w:hAnsi="Times New Roman"/>
          <w:sz w:val="24"/>
          <w:szCs w:val="24"/>
        </w:rPr>
        <w:t>third</w:t>
      </w:r>
      <w:r w:rsidR="00754599">
        <w:rPr>
          <w:rFonts w:ascii="Times New Roman" w:hAnsi="Times New Roman"/>
          <w:sz w:val="24"/>
          <w:szCs w:val="24"/>
        </w:rPr>
        <w:t>-party owner</w:t>
      </w:r>
      <w:r w:rsidR="00193644">
        <w:rPr>
          <w:rFonts w:ascii="Times New Roman" w:hAnsi="Times New Roman"/>
          <w:sz w:val="24"/>
          <w:szCs w:val="24"/>
        </w:rPr>
        <w:t>.</w:t>
      </w:r>
      <w:r w:rsidR="00193644">
        <w:rPr>
          <w:rStyle w:val="FootnoteReference"/>
          <w:rFonts w:ascii="Times New Roman" w:hAnsi="Times New Roman"/>
          <w:sz w:val="24"/>
          <w:szCs w:val="24"/>
        </w:rPr>
        <w:footnoteReference w:id="29"/>
      </w:r>
      <w:r w:rsidR="00193644">
        <w:rPr>
          <w:rFonts w:ascii="Times New Roman" w:hAnsi="Times New Roman"/>
          <w:sz w:val="24"/>
          <w:szCs w:val="24"/>
        </w:rPr>
        <w:t xml:space="preserve">  </w:t>
      </w:r>
    </w:p>
    <w:p w:rsidR="00193644" w:rsidRDefault="00193644" w:rsidP="009B6ADC">
      <w:pPr>
        <w:spacing w:after="0" w:line="480" w:lineRule="auto"/>
        <w:ind w:firstLine="720"/>
        <w:jc w:val="both"/>
        <w:rPr>
          <w:rFonts w:ascii="Times New Roman" w:hAnsi="Times New Roman"/>
          <w:sz w:val="24"/>
          <w:szCs w:val="24"/>
        </w:rPr>
      </w:pPr>
      <w:r>
        <w:rPr>
          <w:rFonts w:ascii="Times New Roman" w:hAnsi="Times New Roman"/>
          <w:sz w:val="24"/>
          <w:szCs w:val="24"/>
        </w:rPr>
        <w:t xml:space="preserve">Once </w:t>
      </w:r>
      <w:r w:rsidR="00442725">
        <w:rPr>
          <w:rFonts w:ascii="Times New Roman" w:hAnsi="Times New Roman"/>
          <w:sz w:val="24"/>
          <w:szCs w:val="24"/>
        </w:rPr>
        <w:t xml:space="preserve">a court enters a </w:t>
      </w:r>
      <w:r>
        <w:rPr>
          <w:rFonts w:ascii="Times New Roman" w:hAnsi="Times New Roman"/>
          <w:sz w:val="24"/>
          <w:szCs w:val="24"/>
        </w:rPr>
        <w:t>judgment of foreclosure</w:t>
      </w:r>
      <w:r w:rsidR="00442725">
        <w:rPr>
          <w:rFonts w:ascii="Times New Roman" w:hAnsi="Times New Roman"/>
          <w:sz w:val="24"/>
          <w:szCs w:val="24"/>
        </w:rPr>
        <w:t xml:space="preserve">, a </w:t>
      </w:r>
      <w:r w:rsidR="00194D59">
        <w:rPr>
          <w:rFonts w:ascii="Times New Roman" w:hAnsi="Times New Roman"/>
          <w:sz w:val="24"/>
          <w:szCs w:val="24"/>
        </w:rPr>
        <w:t>homeowner</w:t>
      </w:r>
      <w:r>
        <w:rPr>
          <w:rFonts w:ascii="Times New Roman" w:hAnsi="Times New Roman"/>
          <w:sz w:val="24"/>
          <w:szCs w:val="24"/>
        </w:rPr>
        <w:t xml:space="preserve"> ha</w:t>
      </w:r>
      <w:r w:rsidR="00442725">
        <w:rPr>
          <w:rFonts w:ascii="Times New Roman" w:hAnsi="Times New Roman"/>
          <w:sz w:val="24"/>
          <w:szCs w:val="24"/>
        </w:rPr>
        <w:t xml:space="preserve">s </w:t>
      </w:r>
      <w:r>
        <w:rPr>
          <w:rFonts w:ascii="Times New Roman" w:hAnsi="Times New Roman"/>
          <w:sz w:val="24"/>
          <w:szCs w:val="24"/>
        </w:rPr>
        <w:t xml:space="preserve">four months </w:t>
      </w:r>
      <w:r w:rsidR="009B6ADC">
        <w:rPr>
          <w:rFonts w:ascii="Times New Roman" w:hAnsi="Times New Roman"/>
          <w:sz w:val="24"/>
          <w:szCs w:val="24"/>
        </w:rPr>
        <w:t xml:space="preserve">in </w:t>
      </w:r>
      <w:r>
        <w:rPr>
          <w:rFonts w:ascii="Times New Roman" w:hAnsi="Times New Roman"/>
          <w:sz w:val="24"/>
          <w:szCs w:val="24"/>
        </w:rPr>
        <w:t xml:space="preserve">which </w:t>
      </w:r>
      <w:r w:rsidR="005A5899">
        <w:rPr>
          <w:rFonts w:ascii="Times New Roman" w:hAnsi="Times New Roman"/>
          <w:sz w:val="24"/>
          <w:szCs w:val="24"/>
        </w:rPr>
        <w:t xml:space="preserve">to </w:t>
      </w:r>
      <w:r>
        <w:rPr>
          <w:rFonts w:ascii="Times New Roman" w:hAnsi="Times New Roman"/>
          <w:sz w:val="24"/>
          <w:szCs w:val="24"/>
        </w:rPr>
        <w:t>redeem their propert</w:t>
      </w:r>
      <w:r w:rsidR="00F76CEE">
        <w:rPr>
          <w:rFonts w:ascii="Times New Roman" w:hAnsi="Times New Roman"/>
          <w:sz w:val="24"/>
          <w:szCs w:val="24"/>
        </w:rPr>
        <w:t>y</w:t>
      </w:r>
      <w:r>
        <w:rPr>
          <w:rFonts w:ascii="Times New Roman" w:hAnsi="Times New Roman"/>
          <w:sz w:val="24"/>
          <w:szCs w:val="24"/>
        </w:rPr>
        <w:t xml:space="preserve"> by paying </w:t>
      </w:r>
      <w:r w:rsidR="00F76CEE">
        <w:rPr>
          <w:rFonts w:ascii="Times New Roman" w:hAnsi="Times New Roman"/>
          <w:sz w:val="24"/>
          <w:szCs w:val="24"/>
        </w:rPr>
        <w:t xml:space="preserve">all </w:t>
      </w:r>
      <w:r w:rsidR="00442725">
        <w:rPr>
          <w:rFonts w:ascii="Times New Roman" w:hAnsi="Times New Roman"/>
          <w:sz w:val="24"/>
          <w:szCs w:val="24"/>
        </w:rPr>
        <w:t>outstanding</w:t>
      </w:r>
      <w:r w:rsidR="00931FBE">
        <w:rPr>
          <w:rFonts w:ascii="Times New Roman" w:hAnsi="Times New Roman"/>
          <w:sz w:val="24"/>
          <w:szCs w:val="24"/>
        </w:rPr>
        <w:t xml:space="preserve"> </w:t>
      </w:r>
      <w:r w:rsidR="00B162FF">
        <w:rPr>
          <w:rFonts w:ascii="Times New Roman" w:hAnsi="Times New Roman"/>
          <w:sz w:val="24"/>
          <w:szCs w:val="24"/>
        </w:rPr>
        <w:t>taxes</w:t>
      </w:r>
      <w:r>
        <w:rPr>
          <w:rFonts w:ascii="Times New Roman" w:hAnsi="Times New Roman"/>
          <w:sz w:val="24"/>
          <w:szCs w:val="24"/>
        </w:rPr>
        <w:t>.</w:t>
      </w:r>
      <w:r>
        <w:rPr>
          <w:rStyle w:val="FootnoteReference"/>
          <w:rFonts w:ascii="Times New Roman" w:hAnsi="Times New Roman"/>
          <w:sz w:val="24"/>
          <w:szCs w:val="24"/>
        </w:rPr>
        <w:footnoteReference w:id="30"/>
      </w:r>
      <w:r>
        <w:rPr>
          <w:rFonts w:ascii="Times New Roman" w:hAnsi="Times New Roman"/>
          <w:sz w:val="24"/>
          <w:szCs w:val="24"/>
        </w:rPr>
        <w:t xml:space="preserve"> DOF</w:t>
      </w:r>
      <w:r w:rsidR="00B162FF">
        <w:rPr>
          <w:rFonts w:ascii="Times New Roman" w:hAnsi="Times New Roman"/>
          <w:sz w:val="24"/>
          <w:szCs w:val="24"/>
        </w:rPr>
        <w:t>,</w:t>
      </w:r>
      <w:r w:rsidR="005A5899">
        <w:rPr>
          <w:rFonts w:ascii="Times New Roman" w:hAnsi="Times New Roman"/>
          <w:sz w:val="24"/>
          <w:szCs w:val="24"/>
        </w:rPr>
        <w:t xml:space="preserve"> in consultation w</w:t>
      </w:r>
      <w:r>
        <w:rPr>
          <w:rFonts w:ascii="Times New Roman" w:hAnsi="Times New Roman"/>
          <w:sz w:val="24"/>
          <w:szCs w:val="24"/>
        </w:rPr>
        <w:t>ith HPD</w:t>
      </w:r>
      <w:r w:rsidR="00B162FF">
        <w:rPr>
          <w:rFonts w:ascii="Times New Roman" w:hAnsi="Times New Roman"/>
          <w:sz w:val="24"/>
          <w:szCs w:val="24"/>
        </w:rPr>
        <w:t>,</w:t>
      </w:r>
      <w:r>
        <w:rPr>
          <w:rFonts w:ascii="Times New Roman" w:hAnsi="Times New Roman"/>
          <w:sz w:val="24"/>
          <w:szCs w:val="24"/>
        </w:rPr>
        <w:t xml:space="preserve"> also has the discretion to allow a homeowner to enter into an installment payment agreement at this time</w:t>
      </w:r>
      <w:r w:rsidR="009B6ADC">
        <w:rPr>
          <w:rFonts w:ascii="Times New Roman" w:hAnsi="Times New Roman"/>
          <w:sz w:val="24"/>
          <w:szCs w:val="24"/>
        </w:rPr>
        <w:t>,</w:t>
      </w:r>
      <w:r w:rsidRPr="00014A64">
        <w:rPr>
          <w:rFonts w:ascii="Times New Roman" w:hAnsi="Times New Roman"/>
          <w:sz w:val="24"/>
          <w:szCs w:val="24"/>
        </w:rPr>
        <w:t xml:space="preserve"> </w:t>
      </w:r>
      <w:r>
        <w:rPr>
          <w:rFonts w:ascii="Times New Roman" w:hAnsi="Times New Roman"/>
          <w:sz w:val="24"/>
          <w:szCs w:val="24"/>
        </w:rPr>
        <w:t>if the homeowner has not previously defaulted on a payment agreement for that property.</w:t>
      </w:r>
      <w:r>
        <w:rPr>
          <w:rStyle w:val="FootnoteReference"/>
          <w:rFonts w:ascii="Times New Roman" w:hAnsi="Times New Roman"/>
          <w:sz w:val="24"/>
          <w:szCs w:val="24"/>
        </w:rPr>
        <w:footnoteReference w:id="31"/>
      </w:r>
      <w:r>
        <w:rPr>
          <w:rFonts w:ascii="Times New Roman" w:hAnsi="Times New Roman"/>
          <w:sz w:val="24"/>
          <w:szCs w:val="24"/>
        </w:rPr>
        <w:t xml:space="preserve">  </w:t>
      </w:r>
    </w:p>
    <w:p w:rsidR="00353342" w:rsidRPr="009B6ADC" w:rsidRDefault="00193644" w:rsidP="009B6ADC">
      <w:pPr>
        <w:pStyle w:val="Heading2"/>
        <w:spacing w:before="0" w:after="0" w:line="480" w:lineRule="auto"/>
        <w:rPr>
          <w:rFonts w:ascii="Times New Roman" w:hAnsi="Times New Roman" w:cs="Times New Roman"/>
          <w:b w:val="0"/>
          <w:i w:val="0"/>
          <w:sz w:val="24"/>
          <w:szCs w:val="24"/>
          <w:u w:val="single"/>
        </w:rPr>
      </w:pPr>
      <w:r w:rsidRPr="00353342">
        <w:rPr>
          <w:rFonts w:ascii="Times New Roman" w:hAnsi="Times New Roman" w:cs="Times New Roman"/>
          <w:b w:val="0"/>
          <w:i w:val="0"/>
          <w:sz w:val="24"/>
          <w:szCs w:val="24"/>
          <w:u w:val="single"/>
        </w:rPr>
        <w:t xml:space="preserve">The Council Reviews the Proposed </w:t>
      </w:r>
      <w:r w:rsidR="00B162FF">
        <w:rPr>
          <w:rFonts w:ascii="Times New Roman" w:hAnsi="Times New Roman" w:cs="Times New Roman"/>
          <w:b w:val="0"/>
          <w:i w:val="0"/>
          <w:sz w:val="24"/>
          <w:szCs w:val="24"/>
          <w:u w:val="single"/>
        </w:rPr>
        <w:t>Transfers</w:t>
      </w:r>
    </w:p>
    <w:p w:rsidR="00193644" w:rsidRPr="00362A1F" w:rsidRDefault="00193644" w:rsidP="009B6ADC">
      <w:pPr>
        <w:spacing w:after="0" w:line="480" w:lineRule="auto"/>
        <w:ind w:firstLine="720"/>
        <w:jc w:val="both"/>
        <w:rPr>
          <w:rFonts w:ascii="Times New Roman" w:hAnsi="Times New Roman"/>
          <w:sz w:val="24"/>
          <w:szCs w:val="24"/>
        </w:rPr>
      </w:pPr>
      <w:r>
        <w:rPr>
          <w:rFonts w:ascii="Times New Roman" w:hAnsi="Times New Roman"/>
          <w:sz w:val="24"/>
          <w:szCs w:val="24"/>
        </w:rPr>
        <w:t xml:space="preserve">Prior to transferring title </w:t>
      </w:r>
      <w:r w:rsidR="00F11A30">
        <w:rPr>
          <w:rFonts w:ascii="Times New Roman" w:hAnsi="Times New Roman"/>
          <w:sz w:val="24"/>
          <w:szCs w:val="24"/>
        </w:rPr>
        <w:t>of foreclosed upon properties to a third party</w:t>
      </w:r>
      <w:r>
        <w:rPr>
          <w:rFonts w:ascii="Times New Roman" w:hAnsi="Times New Roman"/>
          <w:sz w:val="24"/>
          <w:szCs w:val="24"/>
        </w:rPr>
        <w:t xml:space="preserve">, </w:t>
      </w:r>
      <w:r w:rsidR="00931FBE">
        <w:rPr>
          <w:rFonts w:ascii="Times New Roman" w:hAnsi="Times New Roman"/>
          <w:sz w:val="24"/>
          <w:szCs w:val="24"/>
        </w:rPr>
        <w:t xml:space="preserve">DOF </w:t>
      </w:r>
      <w:r>
        <w:rPr>
          <w:rFonts w:ascii="Times New Roman" w:hAnsi="Times New Roman"/>
          <w:sz w:val="24"/>
          <w:szCs w:val="24"/>
        </w:rPr>
        <w:t xml:space="preserve">notifies the Council of the proposed </w:t>
      </w:r>
      <w:r w:rsidR="00B162FF">
        <w:rPr>
          <w:rFonts w:ascii="Times New Roman" w:hAnsi="Times New Roman"/>
          <w:sz w:val="24"/>
          <w:szCs w:val="24"/>
        </w:rPr>
        <w:t>transfers</w:t>
      </w:r>
      <w:r>
        <w:rPr>
          <w:rFonts w:ascii="Times New Roman" w:hAnsi="Times New Roman"/>
          <w:sz w:val="24"/>
          <w:szCs w:val="24"/>
        </w:rPr>
        <w:t>. The Council has 45 days to disapprove any transfers by local law.</w:t>
      </w:r>
      <w:r w:rsidR="0097037A">
        <w:rPr>
          <w:rFonts w:ascii="Times New Roman" w:hAnsi="Times New Roman"/>
          <w:sz w:val="24"/>
          <w:szCs w:val="24"/>
        </w:rPr>
        <w:t xml:space="preserve"> </w:t>
      </w:r>
      <w:r w:rsidR="0097037A" w:rsidRPr="00E8554E">
        <w:rPr>
          <w:rFonts w:ascii="Times New Roman" w:hAnsi="Times New Roman"/>
          <w:sz w:val="24"/>
          <w:szCs w:val="24"/>
        </w:rPr>
        <w:t xml:space="preserve">If the Council does not </w:t>
      </w:r>
      <w:r w:rsidR="00B162FF">
        <w:rPr>
          <w:rFonts w:ascii="Times New Roman" w:hAnsi="Times New Roman"/>
          <w:sz w:val="24"/>
          <w:szCs w:val="24"/>
        </w:rPr>
        <w:t>act</w:t>
      </w:r>
      <w:r w:rsidR="0097037A" w:rsidRPr="00E8554E">
        <w:rPr>
          <w:rFonts w:ascii="Times New Roman" w:hAnsi="Times New Roman"/>
          <w:sz w:val="24"/>
          <w:szCs w:val="24"/>
        </w:rPr>
        <w:t>, the property is deemed approved for transfer.</w:t>
      </w:r>
      <w:r w:rsidR="0097037A">
        <w:rPr>
          <w:rStyle w:val="FootnoteReference"/>
          <w:rFonts w:ascii="Times New Roman" w:hAnsi="Times New Roman"/>
          <w:sz w:val="24"/>
          <w:szCs w:val="24"/>
        </w:rPr>
        <w:footnoteReference w:id="32"/>
      </w:r>
      <w:r w:rsidR="0097037A" w:rsidRPr="00E8554E">
        <w:rPr>
          <w:rFonts w:ascii="Times New Roman" w:hAnsi="Times New Roman"/>
          <w:sz w:val="24"/>
          <w:szCs w:val="24"/>
        </w:rPr>
        <w:t xml:space="preserve"> If the Council passes a local law disapproving a transfer, the property remains with the original</w:t>
      </w:r>
      <w:r w:rsidR="007A5B4F">
        <w:rPr>
          <w:rFonts w:ascii="Times New Roman" w:hAnsi="Times New Roman"/>
          <w:sz w:val="24"/>
          <w:szCs w:val="24"/>
        </w:rPr>
        <w:t xml:space="preserve"> </w:t>
      </w:r>
      <w:r w:rsidR="008E684D">
        <w:rPr>
          <w:rFonts w:ascii="Times New Roman" w:hAnsi="Times New Roman"/>
          <w:sz w:val="24"/>
          <w:szCs w:val="24"/>
        </w:rPr>
        <w:t>home</w:t>
      </w:r>
      <w:r w:rsidR="007A5B4F">
        <w:rPr>
          <w:rFonts w:ascii="Times New Roman" w:hAnsi="Times New Roman"/>
          <w:sz w:val="24"/>
          <w:szCs w:val="24"/>
        </w:rPr>
        <w:t>owner</w:t>
      </w:r>
      <w:r w:rsidR="00DF60CA">
        <w:rPr>
          <w:rFonts w:ascii="Times New Roman" w:hAnsi="Times New Roman"/>
          <w:sz w:val="24"/>
          <w:szCs w:val="24"/>
        </w:rPr>
        <w:t xml:space="preserve"> and </w:t>
      </w:r>
      <w:r w:rsidR="00F518DA">
        <w:rPr>
          <w:rFonts w:ascii="Times New Roman" w:hAnsi="Times New Roman"/>
          <w:sz w:val="24"/>
          <w:szCs w:val="24"/>
        </w:rPr>
        <w:t xml:space="preserve">all </w:t>
      </w:r>
      <w:r w:rsidR="00DF60CA">
        <w:rPr>
          <w:rFonts w:ascii="Times New Roman" w:hAnsi="Times New Roman"/>
          <w:sz w:val="24"/>
          <w:szCs w:val="24"/>
        </w:rPr>
        <w:t>taxes on the property remain due and owing</w:t>
      </w:r>
      <w:r w:rsidR="006F3E52">
        <w:rPr>
          <w:rFonts w:ascii="Times New Roman" w:hAnsi="Times New Roman"/>
          <w:sz w:val="24"/>
          <w:szCs w:val="24"/>
        </w:rPr>
        <w:t>.</w:t>
      </w:r>
      <w:r w:rsidR="006F3E52">
        <w:rPr>
          <w:rStyle w:val="FootnoteReference"/>
          <w:rFonts w:ascii="Times New Roman" w:hAnsi="Times New Roman"/>
          <w:sz w:val="24"/>
          <w:szCs w:val="24"/>
        </w:rPr>
        <w:footnoteReference w:id="33"/>
      </w:r>
      <w:r w:rsidR="0097037A">
        <w:rPr>
          <w:rFonts w:ascii="Times New Roman" w:hAnsi="Times New Roman"/>
          <w:sz w:val="24"/>
          <w:szCs w:val="24"/>
        </w:rPr>
        <w:t xml:space="preserve"> </w:t>
      </w:r>
    </w:p>
    <w:p w:rsidR="00353342" w:rsidRPr="009B6ADC" w:rsidRDefault="00193644" w:rsidP="009B6ADC">
      <w:pPr>
        <w:pStyle w:val="Heading2"/>
        <w:spacing w:before="0" w:after="0" w:line="480" w:lineRule="auto"/>
        <w:rPr>
          <w:rFonts w:ascii="Times New Roman" w:hAnsi="Times New Roman" w:cs="Times New Roman"/>
          <w:b w:val="0"/>
          <w:i w:val="0"/>
          <w:sz w:val="24"/>
          <w:szCs w:val="24"/>
          <w:u w:val="single"/>
        </w:rPr>
      </w:pPr>
      <w:r w:rsidRPr="00353342">
        <w:rPr>
          <w:rFonts w:ascii="Times New Roman" w:hAnsi="Times New Roman" w:cs="Times New Roman"/>
          <w:b w:val="0"/>
          <w:i w:val="0"/>
          <w:sz w:val="24"/>
          <w:szCs w:val="24"/>
          <w:u w:val="single"/>
        </w:rPr>
        <w:t xml:space="preserve">The City Transfers Title to </w:t>
      </w:r>
      <w:r w:rsidR="006F3E52">
        <w:rPr>
          <w:rFonts w:ascii="Times New Roman" w:hAnsi="Times New Roman" w:cs="Times New Roman"/>
          <w:b w:val="0"/>
          <w:i w:val="0"/>
          <w:sz w:val="24"/>
          <w:szCs w:val="24"/>
          <w:u w:val="single"/>
        </w:rPr>
        <w:t xml:space="preserve">a </w:t>
      </w:r>
      <w:r w:rsidRPr="00353342">
        <w:rPr>
          <w:rFonts w:ascii="Times New Roman" w:hAnsi="Times New Roman" w:cs="Times New Roman"/>
          <w:b w:val="0"/>
          <w:i w:val="0"/>
          <w:sz w:val="24"/>
          <w:szCs w:val="24"/>
          <w:u w:val="single"/>
        </w:rPr>
        <w:t>Third Part</w:t>
      </w:r>
      <w:r w:rsidR="006F3E52">
        <w:rPr>
          <w:rFonts w:ascii="Times New Roman" w:hAnsi="Times New Roman" w:cs="Times New Roman"/>
          <w:b w:val="0"/>
          <w:i w:val="0"/>
          <w:sz w:val="24"/>
          <w:szCs w:val="24"/>
          <w:u w:val="single"/>
        </w:rPr>
        <w:t>y</w:t>
      </w:r>
      <w:r w:rsidRPr="00353342">
        <w:rPr>
          <w:rFonts w:ascii="Times New Roman" w:hAnsi="Times New Roman" w:cs="Times New Roman"/>
          <w:b w:val="0"/>
          <w:i w:val="0"/>
          <w:sz w:val="24"/>
          <w:szCs w:val="24"/>
          <w:u w:val="single"/>
        </w:rPr>
        <w:t xml:space="preserve"> </w:t>
      </w:r>
    </w:p>
    <w:p w:rsidR="00193644" w:rsidRPr="009B6ADC" w:rsidRDefault="005A5899" w:rsidP="009B6ADC">
      <w:pPr>
        <w:spacing w:after="0" w:line="480" w:lineRule="auto"/>
        <w:ind w:firstLine="720"/>
        <w:jc w:val="both"/>
        <w:rPr>
          <w:rFonts w:ascii="Times New Roman" w:hAnsi="Times New Roman"/>
          <w:sz w:val="24"/>
          <w:szCs w:val="24"/>
        </w:rPr>
      </w:pPr>
      <w:r>
        <w:rPr>
          <w:rFonts w:ascii="Times New Roman" w:hAnsi="Times New Roman"/>
          <w:sz w:val="24"/>
          <w:szCs w:val="24"/>
        </w:rPr>
        <w:t xml:space="preserve">For properties that </w:t>
      </w:r>
      <w:r w:rsidR="00B162FF">
        <w:rPr>
          <w:rFonts w:ascii="Times New Roman" w:hAnsi="Times New Roman"/>
          <w:sz w:val="24"/>
          <w:szCs w:val="24"/>
        </w:rPr>
        <w:t xml:space="preserve">are </w:t>
      </w:r>
      <w:r>
        <w:rPr>
          <w:rFonts w:ascii="Times New Roman" w:hAnsi="Times New Roman"/>
          <w:sz w:val="24"/>
          <w:szCs w:val="24"/>
        </w:rPr>
        <w:t xml:space="preserve">not removed by </w:t>
      </w:r>
      <w:r w:rsidR="00B162FF">
        <w:rPr>
          <w:rFonts w:ascii="Times New Roman" w:hAnsi="Times New Roman"/>
          <w:sz w:val="24"/>
          <w:szCs w:val="24"/>
        </w:rPr>
        <w:t>the Council</w:t>
      </w:r>
      <w:r>
        <w:rPr>
          <w:rFonts w:ascii="Times New Roman" w:hAnsi="Times New Roman"/>
          <w:sz w:val="24"/>
          <w:szCs w:val="24"/>
        </w:rPr>
        <w:t>, t</w:t>
      </w:r>
      <w:r w:rsidR="007D4171">
        <w:rPr>
          <w:rFonts w:ascii="Times New Roman" w:hAnsi="Times New Roman"/>
          <w:sz w:val="24"/>
          <w:szCs w:val="24"/>
        </w:rPr>
        <w:t>he next step in the</w:t>
      </w:r>
      <w:r w:rsidR="0086606B">
        <w:rPr>
          <w:rFonts w:ascii="Times New Roman" w:hAnsi="Times New Roman"/>
          <w:sz w:val="24"/>
          <w:szCs w:val="24"/>
        </w:rPr>
        <w:t xml:space="preserve"> process is t</w:t>
      </w:r>
      <w:r w:rsidR="00193644">
        <w:rPr>
          <w:rFonts w:ascii="Times New Roman" w:hAnsi="Times New Roman"/>
          <w:sz w:val="24"/>
          <w:szCs w:val="24"/>
        </w:rPr>
        <w:t xml:space="preserve">he </w:t>
      </w:r>
      <w:r w:rsidR="009D0332">
        <w:rPr>
          <w:rFonts w:ascii="Times New Roman" w:hAnsi="Times New Roman"/>
          <w:sz w:val="24"/>
          <w:szCs w:val="24"/>
        </w:rPr>
        <w:t xml:space="preserve">ownership </w:t>
      </w:r>
      <w:r w:rsidR="00193644">
        <w:rPr>
          <w:rFonts w:ascii="Times New Roman" w:hAnsi="Times New Roman"/>
          <w:sz w:val="24"/>
          <w:szCs w:val="24"/>
        </w:rPr>
        <w:t xml:space="preserve">transfer of </w:t>
      </w:r>
      <w:r w:rsidR="009D0332">
        <w:rPr>
          <w:rFonts w:ascii="Times New Roman" w:hAnsi="Times New Roman"/>
          <w:sz w:val="24"/>
          <w:szCs w:val="24"/>
        </w:rPr>
        <w:t xml:space="preserve">a </w:t>
      </w:r>
      <w:r w:rsidR="00193644">
        <w:rPr>
          <w:rFonts w:ascii="Times New Roman" w:hAnsi="Times New Roman"/>
          <w:sz w:val="24"/>
          <w:szCs w:val="24"/>
        </w:rPr>
        <w:t xml:space="preserve">foreclosed </w:t>
      </w:r>
      <w:r w:rsidR="007D4171">
        <w:rPr>
          <w:rFonts w:ascii="Times New Roman" w:hAnsi="Times New Roman"/>
          <w:sz w:val="24"/>
          <w:szCs w:val="24"/>
        </w:rPr>
        <w:t xml:space="preserve">upon </w:t>
      </w:r>
      <w:r w:rsidR="00193644">
        <w:rPr>
          <w:rFonts w:ascii="Times New Roman" w:hAnsi="Times New Roman"/>
          <w:sz w:val="24"/>
          <w:szCs w:val="24"/>
        </w:rPr>
        <w:t>proper</w:t>
      </w:r>
      <w:r w:rsidR="009B6ADC">
        <w:rPr>
          <w:rFonts w:ascii="Times New Roman" w:hAnsi="Times New Roman"/>
          <w:sz w:val="24"/>
          <w:szCs w:val="24"/>
        </w:rPr>
        <w:t>ty</w:t>
      </w:r>
      <w:r w:rsidR="0019757F">
        <w:rPr>
          <w:rFonts w:ascii="Times New Roman" w:hAnsi="Times New Roman"/>
          <w:sz w:val="24"/>
          <w:szCs w:val="24"/>
        </w:rPr>
        <w:t xml:space="preserve"> to </w:t>
      </w:r>
      <w:r w:rsidR="00193644">
        <w:rPr>
          <w:rFonts w:ascii="Times New Roman" w:hAnsi="Times New Roman"/>
          <w:sz w:val="24"/>
          <w:szCs w:val="24"/>
        </w:rPr>
        <w:t xml:space="preserve">Neighborhood </w:t>
      </w:r>
      <w:r w:rsidR="00193644" w:rsidRPr="009B6ADC">
        <w:rPr>
          <w:rFonts w:ascii="Times New Roman" w:hAnsi="Times New Roman"/>
          <w:sz w:val="24"/>
          <w:szCs w:val="24"/>
        </w:rPr>
        <w:t>Restore</w:t>
      </w:r>
      <w:r w:rsidR="00852681" w:rsidRPr="009B6ADC">
        <w:rPr>
          <w:rFonts w:ascii="Times New Roman" w:hAnsi="Times New Roman"/>
          <w:sz w:val="24"/>
          <w:szCs w:val="24"/>
        </w:rPr>
        <w:t xml:space="preserve"> Housing Development Fund Corporation (“Neighborhood Restore”)</w:t>
      </w:r>
      <w:r w:rsidR="00193644" w:rsidRPr="009B6ADC">
        <w:rPr>
          <w:rFonts w:ascii="Times New Roman" w:hAnsi="Times New Roman"/>
          <w:sz w:val="24"/>
          <w:szCs w:val="24"/>
        </w:rPr>
        <w:t xml:space="preserve">, </w:t>
      </w:r>
      <w:r w:rsidR="0025070D">
        <w:rPr>
          <w:rFonts w:ascii="Times New Roman" w:hAnsi="Times New Roman"/>
          <w:sz w:val="24"/>
          <w:szCs w:val="24"/>
        </w:rPr>
        <w:t>“</w:t>
      </w:r>
      <w:r w:rsidR="00824E11" w:rsidRPr="00824E11">
        <w:rPr>
          <w:rFonts w:ascii="Times New Roman" w:hAnsi="Times New Roman"/>
          <w:sz w:val="24"/>
          <w:szCs w:val="24"/>
        </w:rPr>
        <w:t xml:space="preserve">a nonprofit organization that oversees a variety of affordable housing development programs </w:t>
      </w:r>
      <w:r w:rsidR="00F773F6">
        <w:rPr>
          <w:rFonts w:ascii="Times New Roman" w:hAnsi="Times New Roman"/>
          <w:sz w:val="24"/>
          <w:szCs w:val="24"/>
        </w:rPr>
        <w:t xml:space="preserve">. . . </w:t>
      </w:r>
      <w:r w:rsidR="0025070D">
        <w:rPr>
          <w:rFonts w:ascii="Times New Roman" w:hAnsi="Times New Roman"/>
          <w:sz w:val="24"/>
          <w:szCs w:val="24"/>
        </w:rPr>
        <w:t xml:space="preserve">[which] </w:t>
      </w:r>
      <w:r w:rsidR="00824E11" w:rsidRPr="00824E11">
        <w:rPr>
          <w:rFonts w:ascii="Times New Roman" w:hAnsi="Times New Roman"/>
          <w:sz w:val="24"/>
          <w:szCs w:val="24"/>
        </w:rPr>
        <w:t>focus on transitioning properties from financial and physical abandonment to third party ownership</w:t>
      </w:r>
      <w:r w:rsidR="00824E11">
        <w:rPr>
          <w:rFonts w:ascii="Times New Roman" w:hAnsi="Times New Roman"/>
          <w:sz w:val="24"/>
          <w:szCs w:val="24"/>
        </w:rPr>
        <w:t>.”</w:t>
      </w:r>
      <w:r w:rsidR="00824E11">
        <w:rPr>
          <w:rStyle w:val="FootnoteReference"/>
          <w:rFonts w:ascii="Times New Roman" w:hAnsi="Times New Roman"/>
          <w:sz w:val="24"/>
          <w:szCs w:val="24"/>
        </w:rPr>
        <w:footnoteReference w:id="34"/>
      </w:r>
      <w:r w:rsidR="0025070D">
        <w:rPr>
          <w:rFonts w:ascii="Times New Roman" w:hAnsi="Times New Roman"/>
          <w:sz w:val="24"/>
          <w:szCs w:val="24"/>
        </w:rPr>
        <w:t xml:space="preserve"> </w:t>
      </w:r>
      <w:r>
        <w:rPr>
          <w:rFonts w:ascii="Times New Roman" w:hAnsi="Times New Roman"/>
          <w:sz w:val="24"/>
          <w:szCs w:val="24"/>
        </w:rPr>
        <w:t xml:space="preserve">This transfer extinguishes </w:t>
      </w:r>
      <w:r w:rsidRPr="009B6ADC">
        <w:rPr>
          <w:rFonts w:ascii="Times New Roman" w:hAnsi="Times New Roman"/>
          <w:sz w:val="24"/>
          <w:szCs w:val="24"/>
        </w:rPr>
        <w:t xml:space="preserve">all tax liens on the </w:t>
      </w:r>
      <w:r>
        <w:rPr>
          <w:rFonts w:ascii="Times New Roman" w:hAnsi="Times New Roman"/>
          <w:sz w:val="24"/>
          <w:szCs w:val="24"/>
        </w:rPr>
        <w:t xml:space="preserve">transferred </w:t>
      </w:r>
      <w:r w:rsidRPr="009B6ADC">
        <w:rPr>
          <w:rFonts w:ascii="Times New Roman" w:hAnsi="Times New Roman"/>
          <w:sz w:val="24"/>
          <w:szCs w:val="24"/>
        </w:rPr>
        <w:t>propert</w:t>
      </w:r>
      <w:r>
        <w:rPr>
          <w:rFonts w:ascii="Times New Roman" w:hAnsi="Times New Roman"/>
          <w:sz w:val="24"/>
          <w:szCs w:val="24"/>
        </w:rPr>
        <w:t>y</w:t>
      </w:r>
      <w:r w:rsidRPr="009B6ADC">
        <w:rPr>
          <w:rStyle w:val="FootnoteReference"/>
          <w:rFonts w:ascii="Times New Roman" w:hAnsi="Times New Roman"/>
          <w:sz w:val="24"/>
          <w:szCs w:val="24"/>
        </w:rPr>
        <w:footnoteReference w:id="35"/>
      </w:r>
      <w:r>
        <w:rPr>
          <w:rFonts w:ascii="Times New Roman" w:hAnsi="Times New Roman"/>
          <w:sz w:val="24"/>
          <w:szCs w:val="24"/>
        </w:rPr>
        <w:t xml:space="preserve"> and </w:t>
      </w:r>
      <w:r w:rsidRPr="009B6ADC">
        <w:rPr>
          <w:rFonts w:ascii="Times New Roman" w:hAnsi="Times New Roman"/>
          <w:sz w:val="24"/>
          <w:szCs w:val="24"/>
        </w:rPr>
        <w:t xml:space="preserve">must take place </w:t>
      </w:r>
      <w:r>
        <w:rPr>
          <w:rFonts w:ascii="Times New Roman" w:hAnsi="Times New Roman"/>
          <w:sz w:val="24"/>
          <w:szCs w:val="24"/>
        </w:rPr>
        <w:t xml:space="preserve">between four and eight </w:t>
      </w:r>
      <w:r w:rsidRPr="009B6ADC">
        <w:rPr>
          <w:rFonts w:ascii="Times New Roman" w:hAnsi="Times New Roman"/>
          <w:sz w:val="24"/>
          <w:szCs w:val="24"/>
        </w:rPr>
        <w:t>months</w:t>
      </w:r>
      <w:r>
        <w:rPr>
          <w:rFonts w:ascii="Times New Roman" w:hAnsi="Times New Roman"/>
          <w:sz w:val="24"/>
          <w:szCs w:val="24"/>
        </w:rPr>
        <w:t xml:space="preserve"> </w:t>
      </w:r>
      <w:r w:rsidRPr="009B6ADC">
        <w:rPr>
          <w:rFonts w:ascii="Times New Roman" w:hAnsi="Times New Roman"/>
          <w:sz w:val="24"/>
          <w:szCs w:val="24"/>
        </w:rPr>
        <w:t xml:space="preserve">after </w:t>
      </w:r>
      <w:r>
        <w:rPr>
          <w:rFonts w:ascii="Times New Roman" w:hAnsi="Times New Roman"/>
          <w:sz w:val="24"/>
          <w:szCs w:val="24"/>
        </w:rPr>
        <w:t>a</w:t>
      </w:r>
      <w:r w:rsidRPr="009B6ADC">
        <w:rPr>
          <w:rFonts w:ascii="Times New Roman" w:hAnsi="Times New Roman"/>
          <w:sz w:val="24"/>
          <w:szCs w:val="24"/>
        </w:rPr>
        <w:t xml:space="preserve"> court renders a final judgment of foreclosure against the property.</w:t>
      </w:r>
      <w:r w:rsidRPr="009B6ADC">
        <w:rPr>
          <w:rStyle w:val="FootnoteReference"/>
          <w:rFonts w:ascii="Times New Roman" w:hAnsi="Times New Roman"/>
          <w:sz w:val="24"/>
          <w:szCs w:val="24"/>
        </w:rPr>
        <w:footnoteReference w:id="36"/>
      </w:r>
    </w:p>
    <w:p w:rsidR="00193644" w:rsidRPr="009B6ADC" w:rsidRDefault="00193644" w:rsidP="00193644">
      <w:pPr>
        <w:spacing w:after="0" w:line="480" w:lineRule="auto"/>
        <w:ind w:firstLine="720"/>
        <w:jc w:val="both"/>
        <w:rPr>
          <w:rFonts w:ascii="Times New Roman" w:hAnsi="Times New Roman"/>
          <w:sz w:val="24"/>
          <w:szCs w:val="24"/>
        </w:rPr>
      </w:pPr>
      <w:r w:rsidRPr="009B6ADC">
        <w:rPr>
          <w:rFonts w:ascii="Times New Roman" w:hAnsi="Times New Roman"/>
          <w:color w:val="222222"/>
          <w:sz w:val="24"/>
          <w:szCs w:val="24"/>
          <w:shd w:val="clear" w:color="auto" w:fill="FFFFFF"/>
        </w:rPr>
        <w:t>Neighborhood Restore works with non-profit and for-profit developers</w:t>
      </w:r>
      <w:r w:rsidR="005A5899">
        <w:rPr>
          <w:rFonts w:ascii="Times New Roman" w:hAnsi="Times New Roman"/>
          <w:color w:val="222222"/>
          <w:sz w:val="24"/>
          <w:szCs w:val="24"/>
          <w:shd w:val="clear" w:color="auto" w:fill="FFFFFF"/>
        </w:rPr>
        <w:t>—</w:t>
      </w:r>
      <w:r w:rsidRPr="009B6ADC">
        <w:rPr>
          <w:rFonts w:ascii="Times New Roman" w:hAnsi="Times New Roman"/>
          <w:color w:val="222222"/>
          <w:sz w:val="24"/>
          <w:szCs w:val="24"/>
          <w:shd w:val="clear" w:color="auto" w:fill="FFFFFF"/>
        </w:rPr>
        <w:t>selected by HPD through a Request for Qualifications process</w:t>
      </w:r>
      <w:r w:rsidR="005A5899">
        <w:rPr>
          <w:rFonts w:ascii="Times New Roman" w:hAnsi="Times New Roman"/>
          <w:color w:val="222222"/>
          <w:sz w:val="24"/>
          <w:szCs w:val="24"/>
          <w:shd w:val="clear" w:color="auto" w:fill="FFFFFF"/>
        </w:rPr>
        <w:t>—</w:t>
      </w:r>
      <w:r w:rsidRPr="009B6ADC">
        <w:rPr>
          <w:rFonts w:ascii="Times New Roman" w:hAnsi="Times New Roman"/>
          <w:color w:val="222222"/>
          <w:sz w:val="24"/>
          <w:szCs w:val="24"/>
          <w:shd w:val="clear" w:color="auto" w:fill="FFFFFF"/>
        </w:rPr>
        <w:t>to stabilize and plan for the properties’ rehabilitation.</w:t>
      </w:r>
      <w:r w:rsidRPr="009B6ADC">
        <w:rPr>
          <w:rStyle w:val="FootnoteReference"/>
          <w:rFonts w:ascii="Times New Roman" w:hAnsi="Times New Roman"/>
          <w:color w:val="222222"/>
          <w:sz w:val="24"/>
          <w:szCs w:val="24"/>
          <w:shd w:val="clear" w:color="auto" w:fill="FFFFFF"/>
        </w:rPr>
        <w:footnoteReference w:id="37"/>
      </w:r>
      <w:r w:rsidRPr="009B6ADC">
        <w:rPr>
          <w:rFonts w:ascii="Times New Roman" w:hAnsi="Times New Roman"/>
          <w:color w:val="222222"/>
          <w:sz w:val="24"/>
          <w:szCs w:val="24"/>
          <w:shd w:val="clear" w:color="auto" w:fill="FFFFFF"/>
        </w:rPr>
        <w:t xml:space="preserve"> Neighborhood Restore </w:t>
      </w:r>
      <w:r w:rsidR="00254DED">
        <w:rPr>
          <w:rFonts w:ascii="Times New Roman" w:hAnsi="Times New Roman"/>
          <w:color w:val="222222"/>
          <w:sz w:val="24"/>
          <w:szCs w:val="24"/>
          <w:shd w:val="clear" w:color="auto" w:fill="FFFFFF"/>
        </w:rPr>
        <w:t xml:space="preserve">will ultimately </w:t>
      </w:r>
      <w:r w:rsidRPr="009B6ADC">
        <w:rPr>
          <w:rFonts w:ascii="Times New Roman" w:hAnsi="Times New Roman"/>
          <w:color w:val="222222"/>
          <w:sz w:val="24"/>
          <w:szCs w:val="24"/>
          <w:shd w:val="clear" w:color="auto" w:fill="FFFFFF"/>
        </w:rPr>
        <w:t xml:space="preserve">transfer </w:t>
      </w:r>
      <w:r w:rsidR="00194D59">
        <w:rPr>
          <w:rFonts w:ascii="Times New Roman" w:hAnsi="Times New Roman"/>
          <w:color w:val="222222"/>
          <w:sz w:val="24"/>
          <w:szCs w:val="24"/>
          <w:shd w:val="clear" w:color="auto" w:fill="FFFFFF"/>
        </w:rPr>
        <w:t>owner</w:t>
      </w:r>
      <w:r w:rsidRPr="009B6ADC">
        <w:rPr>
          <w:rFonts w:ascii="Times New Roman" w:hAnsi="Times New Roman"/>
          <w:color w:val="222222"/>
          <w:sz w:val="24"/>
          <w:szCs w:val="24"/>
          <w:shd w:val="clear" w:color="auto" w:fill="FFFFFF"/>
        </w:rPr>
        <w:t>ship</w:t>
      </w:r>
      <w:r w:rsidR="00254DED">
        <w:rPr>
          <w:rFonts w:ascii="Times New Roman" w:hAnsi="Times New Roman"/>
          <w:color w:val="222222"/>
          <w:sz w:val="24"/>
          <w:szCs w:val="24"/>
          <w:shd w:val="clear" w:color="auto" w:fill="FFFFFF"/>
        </w:rPr>
        <w:t xml:space="preserve"> to the </w:t>
      </w:r>
      <w:r w:rsidR="0076748F">
        <w:rPr>
          <w:rFonts w:ascii="Times New Roman" w:hAnsi="Times New Roman"/>
          <w:color w:val="222222"/>
          <w:sz w:val="24"/>
          <w:szCs w:val="24"/>
          <w:shd w:val="clear" w:color="auto" w:fill="FFFFFF"/>
        </w:rPr>
        <w:t>s</w:t>
      </w:r>
      <w:r w:rsidR="008061DB">
        <w:rPr>
          <w:rFonts w:ascii="Times New Roman" w:hAnsi="Times New Roman"/>
          <w:color w:val="222222"/>
          <w:sz w:val="24"/>
          <w:szCs w:val="24"/>
          <w:shd w:val="clear" w:color="auto" w:fill="FFFFFF"/>
        </w:rPr>
        <w:t>e</w:t>
      </w:r>
      <w:r w:rsidR="0076748F">
        <w:rPr>
          <w:rFonts w:ascii="Times New Roman" w:hAnsi="Times New Roman"/>
          <w:color w:val="222222"/>
          <w:sz w:val="24"/>
          <w:szCs w:val="24"/>
          <w:shd w:val="clear" w:color="auto" w:fill="FFFFFF"/>
        </w:rPr>
        <w:t xml:space="preserve">lected </w:t>
      </w:r>
      <w:r w:rsidR="00254DED">
        <w:rPr>
          <w:rFonts w:ascii="Times New Roman" w:hAnsi="Times New Roman"/>
          <w:color w:val="222222"/>
          <w:sz w:val="24"/>
          <w:szCs w:val="24"/>
          <w:shd w:val="clear" w:color="auto" w:fill="FFFFFF"/>
        </w:rPr>
        <w:t>developer</w:t>
      </w:r>
      <w:r w:rsidR="00521CDD">
        <w:rPr>
          <w:rFonts w:ascii="Times New Roman" w:hAnsi="Times New Roman"/>
          <w:color w:val="222222"/>
          <w:sz w:val="24"/>
          <w:szCs w:val="24"/>
          <w:shd w:val="clear" w:color="auto" w:fill="FFFFFF"/>
        </w:rPr>
        <w:t>.</w:t>
      </w:r>
      <w:r w:rsidR="00163E98">
        <w:rPr>
          <w:rFonts w:ascii="Times New Roman" w:hAnsi="Times New Roman"/>
          <w:color w:val="222222"/>
          <w:sz w:val="24"/>
          <w:szCs w:val="24"/>
          <w:shd w:val="clear" w:color="auto" w:fill="FFFFFF"/>
        </w:rPr>
        <w:t xml:space="preserve"> </w:t>
      </w:r>
      <w:r w:rsidR="00521CDD">
        <w:rPr>
          <w:rFonts w:ascii="Times New Roman" w:hAnsi="Times New Roman"/>
          <w:color w:val="222222"/>
          <w:sz w:val="24"/>
          <w:szCs w:val="24"/>
          <w:shd w:val="clear" w:color="auto" w:fill="FFFFFF"/>
        </w:rPr>
        <w:t xml:space="preserve">The </w:t>
      </w:r>
      <w:r w:rsidRPr="009B6ADC">
        <w:rPr>
          <w:rFonts w:ascii="Times New Roman" w:hAnsi="Times New Roman"/>
          <w:color w:val="222222"/>
          <w:sz w:val="24"/>
          <w:szCs w:val="24"/>
          <w:shd w:val="clear" w:color="auto" w:fill="FFFFFF"/>
        </w:rPr>
        <w:t xml:space="preserve">developer </w:t>
      </w:r>
      <w:r w:rsidR="00536114">
        <w:rPr>
          <w:rFonts w:ascii="Times New Roman" w:hAnsi="Times New Roman"/>
          <w:color w:val="222222"/>
          <w:sz w:val="24"/>
          <w:szCs w:val="24"/>
          <w:shd w:val="clear" w:color="auto" w:fill="FFFFFF"/>
        </w:rPr>
        <w:t xml:space="preserve">is </w:t>
      </w:r>
      <w:r w:rsidR="008061DB">
        <w:rPr>
          <w:rFonts w:ascii="Times New Roman" w:hAnsi="Times New Roman"/>
          <w:color w:val="222222"/>
          <w:sz w:val="24"/>
          <w:szCs w:val="24"/>
          <w:shd w:val="clear" w:color="auto" w:fill="FFFFFF"/>
        </w:rPr>
        <w:t xml:space="preserve">then </w:t>
      </w:r>
      <w:r w:rsidR="00536114">
        <w:rPr>
          <w:rFonts w:ascii="Times New Roman" w:hAnsi="Times New Roman"/>
          <w:color w:val="222222"/>
          <w:sz w:val="24"/>
          <w:szCs w:val="24"/>
          <w:shd w:val="clear" w:color="auto" w:fill="FFFFFF"/>
        </w:rPr>
        <w:t>required to</w:t>
      </w:r>
      <w:r w:rsidR="00536114" w:rsidRPr="009B6ADC">
        <w:rPr>
          <w:rFonts w:ascii="Times New Roman" w:hAnsi="Times New Roman"/>
          <w:color w:val="222222"/>
          <w:sz w:val="24"/>
          <w:szCs w:val="24"/>
          <w:shd w:val="clear" w:color="auto" w:fill="FFFFFF"/>
        </w:rPr>
        <w:t xml:space="preserve"> </w:t>
      </w:r>
      <w:r w:rsidRPr="009B6ADC">
        <w:rPr>
          <w:rFonts w:ascii="Times New Roman" w:hAnsi="Times New Roman"/>
          <w:color w:val="222222"/>
          <w:sz w:val="24"/>
          <w:szCs w:val="24"/>
          <w:shd w:val="clear" w:color="auto" w:fill="FFFFFF"/>
        </w:rPr>
        <w:t>rehabilitate the building, if necessary, and continue to manage the property as affordable rental housing.</w:t>
      </w:r>
      <w:r w:rsidRPr="009B6ADC">
        <w:rPr>
          <w:rStyle w:val="FootnoteReference"/>
          <w:rFonts w:ascii="Times New Roman" w:hAnsi="Times New Roman"/>
          <w:color w:val="222222"/>
          <w:sz w:val="24"/>
          <w:szCs w:val="24"/>
          <w:shd w:val="clear" w:color="auto" w:fill="FFFFFF"/>
        </w:rPr>
        <w:footnoteReference w:id="38"/>
      </w:r>
      <w:r w:rsidRPr="009B6ADC">
        <w:rPr>
          <w:rFonts w:ascii="Times New Roman" w:hAnsi="Times New Roman"/>
          <w:color w:val="222222"/>
          <w:sz w:val="24"/>
          <w:szCs w:val="24"/>
          <w:shd w:val="clear" w:color="auto" w:fill="FFFFFF"/>
        </w:rPr>
        <w:t xml:space="preserve"> </w:t>
      </w:r>
    </w:p>
    <w:p w:rsidR="0040611A" w:rsidRPr="009B6ADC" w:rsidRDefault="0040611A" w:rsidP="00353342">
      <w:pPr>
        <w:pStyle w:val="Heading1"/>
        <w:rPr>
          <w:b/>
          <w:i w:val="0"/>
        </w:rPr>
      </w:pPr>
      <w:r w:rsidRPr="009B6ADC">
        <w:rPr>
          <w:b/>
          <w:i w:val="0"/>
        </w:rPr>
        <w:t xml:space="preserve">ROUND X </w:t>
      </w:r>
    </w:p>
    <w:p w:rsidR="00D05BE5" w:rsidRDefault="00DF77C8" w:rsidP="00617CE4">
      <w:pPr>
        <w:autoSpaceDE w:val="0"/>
        <w:autoSpaceDN w:val="0"/>
        <w:adjustRightInd w:val="0"/>
        <w:spacing w:after="0" w:line="480" w:lineRule="auto"/>
        <w:ind w:firstLine="720"/>
        <w:jc w:val="both"/>
        <w:rPr>
          <w:rFonts w:ascii="Times New Roman" w:hAnsi="Times New Roman"/>
          <w:sz w:val="24"/>
          <w:szCs w:val="24"/>
        </w:rPr>
      </w:pPr>
      <w:r w:rsidRPr="009B6ADC">
        <w:rPr>
          <w:rFonts w:ascii="Times New Roman" w:hAnsi="Times New Roman"/>
          <w:sz w:val="24"/>
          <w:szCs w:val="24"/>
        </w:rPr>
        <w:t xml:space="preserve">Round X of TPT </w:t>
      </w:r>
      <w:r w:rsidR="00CA23D3" w:rsidRPr="009B6ADC">
        <w:rPr>
          <w:rFonts w:ascii="Times New Roman" w:hAnsi="Times New Roman"/>
          <w:sz w:val="24"/>
          <w:szCs w:val="24"/>
        </w:rPr>
        <w:t xml:space="preserve">began in 2015 </w:t>
      </w:r>
      <w:r w:rsidR="001E225C" w:rsidRPr="009B6ADC">
        <w:rPr>
          <w:rFonts w:ascii="Times New Roman" w:hAnsi="Times New Roman"/>
          <w:sz w:val="24"/>
          <w:szCs w:val="24"/>
        </w:rPr>
        <w:t>when the City selected</w:t>
      </w:r>
      <w:r w:rsidR="008773BF" w:rsidRPr="009B6ADC">
        <w:rPr>
          <w:rFonts w:ascii="Times New Roman" w:hAnsi="Times New Roman"/>
          <w:sz w:val="24"/>
          <w:szCs w:val="24"/>
        </w:rPr>
        <w:t xml:space="preserve"> </w:t>
      </w:r>
      <w:r w:rsidR="00066038" w:rsidRPr="009B6ADC">
        <w:rPr>
          <w:rFonts w:ascii="Times New Roman" w:hAnsi="Times New Roman"/>
          <w:sz w:val="24"/>
          <w:szCs w:val="24"/>
        </w:rPr>
        <w:t>420 p</w:t>
      </w:r>
      <w:r w:rsidR="00914429" w:rsidRPr="009B6ADC">
        <w:rPr>
          <w:rFonts w:ascii="Times New Roman" w:hAnsi="Times New Roman"/>
          <w:sz w:val="24"/>
          <w:szCs w:val="24"/>
        </w:rPr>
        <w:t>roperties</w:t>
      </w:r>
      <w:r w:rsidR="00CA23D3" w:rsidRPr="009B6ADC">
        <w:rPr>
          <w:rFonts w:ascii="Times New Roman" w:hAnsi="Times New Roman"/>
          <w:sz w:val="24"/>
          <w:szCs w:val="24"/>
        </w:rPr>
        <w:t xml:space="preserve"> </w:t>
      </w:r>
      <w:r w:rsidR="00BF6799" w:rsidRPr="009B6ADC">
        <w:rPr>
          <w:rFonts w:ascii="Times New Roman" w:hAnsi="Times New Roman"/>
          <w:sz w:val="24"/>
          <w:szCs w:val="24"/>
        </w:rPr>
        <w:t>for the Program</w:t>
      </w:r>
      <w:r w:rsidR="00E27618">
        <w:rPr>
          <w:rFonts w:ascii="Times New Roman" w:hAnsi="Times New Roman"/>
          <w:sz w:val="24"/>
          <w:szCs w:val="24"/>
        </w:rPr>
        <w:t>,</w:t>
      </w:r>
      <w:r w:rsidR="00BF6799" w:rsidRPr="009B6ADC">
        <w:rPr>
          <w:rFonts w:ascii="Times New Roman" w:hAnsi="Times New Roman"/>
          <w:sz w:val="24"/>
          <w:szCs w:val="24"/>
        </w:rPr>
        <w:t xml:space="preserve"> </w:t>
      </w:r>
      <w:r w:rsidR="00CA23D3" w:rsidRPr="009B6ADC">
        <w:rPr>
          <w:rFonts w:ascii="Times New Roman" w:hAnsi="Times New Roman"/>
          <w:sz w:val="24"/>
          <w:szCs w:val="24"/>
        </w:rPr>
        <w:t xml:space="preserve">and </w:t>
      </w:r>
      <w:r w:rsidR="00352BFC" w:rsidRPr="009B6ADC">
        <w:rPr>
          <w:rFonts w:ascii="Times New Roman" w:hAnsi="Times New Roman"/>
          <w:sz w:val="24"/>
          <w:szCs w:val="24"/>
        </w:rPr>
        <w:t>ended in the fall of 2018 when</w:t>
      </w:r>
      <w:r w:rsidR="00BF6799" w:rsidRPr="009B6ADC">
        <w:rPr>
          <w:rFonts w:ascii="Times New Roman" w:hAnsi="Times New Roman"/>
          <w:sz w:val="24"/>
          <w:szCs w:val="24"/>
        </w:rPr>
        <w:t xml:space="preserve"> the City transferred</w:t>
      </w:r>
      <w:r w:rsidR="00352BFC" w:rsidRPr="009B6ADC">
        <w:rPr>
          <w:rFonts w:ascii="Times New Roman" w:hAnsi="Times New Roman"/>
          <w:sz w:val="24"/>
          <w:szCs w:val="24"/>
        </w:rPr>
        <w:t xml:space="preserve"> </w:t>
      </w:r>
      <w:r w:rsidR="00BF6799" w:rsidRPr="009B6ADC">
        <w:rPr>
          <w:rFonts w:ascii="Times New Roman" w:hAnsi="Times New Roman"/>
          <w:sz w:val="24"/>
          <w:szCs w:val="24"/>
        </w:rPr>
        <w:t xml:space="preserve">65 of those properties </w:t>
      </w:r>
      <w:r w:rsidR="00352BFC" w:rsidRPr="009B6ADC">
        <w:rPr>
          <w:rFonts w:ascii="Times New Roman" w:hAnsi="Times New Roman"/>
          <w:sz w:val="24"/>
          <w:szCs w:val="24"/>
        </w:rPr>
        <w:t xml:space="preserve">to Neighborhood Restore. </w:t>
      </w:r>
      <w:r w:rsidR="009D0332">
        <w:rPr>
          <w:rFonts w:ascii="Times New Roman" w:hAnsi="Times New Roman"/>
          <w:sz w:val="24"/>
          <w:szCs w:val="24"/>
        </w:rPr>
        <w:t xml:space="preserve">Round X </w:t>
      </w:r>
      <w:r w:rsidR="00914429" w:rsidRPr="009B6ADC">
        <w:rPr>
          <w:rFonts w:ascii="Times New Roman" w:hAnsi="Times New Roman"/>
          <w:sz w:val="24"/>
          <w:szCs w:val="24"/>
        </w:rPr>
        <w:t>generated a si</w:t>
      </w:r>
      <w:r w:rsidR="007120B2" w:rsidRPr="009B6ADC">
        <w:rPr>
          <w:rFonts w:ascii="Times New Roman" w:hAnsi="Times New Roman"/>
          <w:sz w:val="24"/>
          <w:szCs w:val="24"/>
        </w:rPr>
        <w:t>gnificant amount of attention</w:t>
      </w:r>
      <w:r w:rsidR="003F3288" w:rsidRPr="009B6ADC">
        <w:rPr>
          <w:rFonts w:ascii="Times New Roman" w:hAnsi="Times New Roman"/>
          <w:sz w:val="24"/>
          <w:szCs w:val="24"/>
        </w:rPr>
        <w:t xml:space="preserve"> due to </w:t>
      </w:r>
      <w:r w:rsidR="00B36BBA">
        <w:rPr>
          <w:rFonts w:ascii="Times New Roman" w:hAnsi="Times New Roman"/>
          <w:sz w:val="24"/>
          <w:szCs w:val="24"/>
        </w:rPr>
        <w:t xml:space="preserve">1) </w:t>
      </w:r>
      <w:r w:rsidR="003F3288" w:rsidRPr="009B6ADC">
        <w:rPr>
          <w:rFonts w:ascii="Times New Roman" w:hAnsi="Times New Roman"/>
          <w:sz w:val="24"/>
          <w:szCs w:val="24"/>
        </w:rPr>
        <w:t>the types of</w:t>
      </w:r>
      <w:r w:rsidR="00FE3CDA" w:rsidRPr="009B6ADC">
        <w:rPr>
          <w:rFonts w:ascii="Times New Roman" w:hAnsi="Times New Roman"/>
          <w:sz w:val="24"/>
          <w:szCs w:val="24"/>
        </w:rPr>
        <w:t xml:space="preserve"> properties selected, </w:t>
      </w:r>
      <w:r w:rsidR="00B36BBA">
        <w:rPr>
          <w:rFonts w:ascii="Times New Roman" w:hAnsi="Times New Roman"/>
          <w:sz w:val="24"/>
          <w:szCs w:val="24"/>
        </w:rPr>
        <w:t xml:space="preserve">2) </w:t>
      </w:r>
      <w:r w:rsidR="00FE3CDA" w:rsidRPr="009B6ADC">
        <w:rPr>
          <w:rFonts w:ascii="Times New Roman" w:hAnsi="Times New Roman"/>
          <w:sz w:val="24"/>
          <w:szCs w:val="24"/>
        </w:rPr>
        <w:t>the neighborhoods in which the properties</w:t>
      </w:r>
      <w:r w:rsidR="00B9122D">
        <w:rPr>
          <w:rFonts w:ascii="Times New Roman" w:hAnsi="Times New Roman"/>
          <w:sz w:val="24"/>
          <w:szCs w:val="24"/>
        </w:rPr>
        <w:t xml:space="preserve"> were</w:t>
      </w:r>
      <w:r w:rsidR="00FE3CDA">
        <w:rPr>
          <w:rFonts w:ascii="Times New Roman" w:hAnsi="Times New Roman"/>
          <w:sz w:val="24"/>
          <w:szCs w:val="24"/>
        </w:rPr>
        <w:t xml:space="preserve"> located, and </w:t>
      </w:r>
      <w:r w:rsidR="00B36BBA">
        <w:rPr>
          <w:rFonts w:ascii="Times New Roman" w:hAnsi="Times New Roman"/>
          <w:sz w:val="24"/>
          <w:szCs w:val="24"/>
        </w:rPr>
        <w:t xml:space="preserve">3) </w:t>
      </w:r>
      <w:r w:rsidR="00FE3CDA">
        <w:rPr>
          <w:rFonts w:ascii="Times New Roman" w:hAnsi="Times New Roman"/>
          <w:sz w:val="24"/>
          <w:szCs w:val="24"/>
        </w:rPr>
        <w:t xml:space="preserve">the </w:t>
      </w:r>
      <w:r w:rsidR="00B9122D">
        <w:rPr>
          <w:rFonts w:ascii="Times New Roman" w:hAnsi="Times New Roman"/>
          <w:sz w:val="24"/>
          <w:szCs w:val="24"/>
        </w:rPr>
        <w:t xml:space="preserve">lack of notice and opportunity to redeem properties </w:t>
      </w:r>
      <w:r w:rsidR="00521CDD">
        <w:rPr>
          <w:rFonts w:ascii="Times New Roman" w:hAnsi="Times New Roman"/>
          <w:sz w:val="24"/>
          <w:szCs w:val="24"/>
        </w:rPr>
        <w:t>reported</w:t>
      </w:r>
      <w:r w:rsidR="00EA09E5">
        <w:rPr>
          <w:rFonts w:ascii="Times New Roman" w:hAnsi="Times New Roman"/>
          <w:sz w:val="24"/>
          <w:szCs w:val="24"/>
        </w:rPr>
        <w:t xml:space="preserve"> by many </w:t>
      </w:r>
      <w:r w:rsidR="00526AF9">
        <w:rPr>
          <w:rFonts w:ascii="Times New Roman" w:hAnsi="Times New Roman"/>
          <w:sz w:val="24"/>
          <w:szCs w:val="24"/>
        </w:rPr>
        <w:t>home</w:t>
      </w:r>
      <w:r w:rsidR="00B9122D">
        <w:rPr>
          <w:rFonts w:ascii="Times New Roman" w:hAnsi="Times New Roman"/>
          <w:sz w:val="24"/>
          <w:szCs w:val="24"/>
        </w:rPr>
        <w:t>owners.</w:t>
      </w:r>
    </w:p>
    <w:p w:rsidR="00353342" w:rsidRDefault="00353342" w:rsidP="00E24C2F">
      <w:pPr>
        <w:pStyle w:val="Heading2"/>
        <w:spacing w:before="0" w:after="0"/>
        <w:rPr>
          <w:rFonts w:ascii="Times New Roman" w:hAnsi="Times New Roman" w:cs="Times New Roman"/>
          <w:b w:val="0"/>
          <w:i w:val="0"/>
          <w:sz w:val="24"/>
          <w:szCs w:val="24"/>
          <w:u w:val="single"/>
        </w:rPr>
      </w:pPr>
      <w:r w:rsidRPr="00E24C2F">
        <w:rPr>
          <w:rFonts w:ascii="Times New Roman" w:hAnsi="Times New Roman" w:cs="Times New Roman"/>
          <w:b w:val="0"/>
          <w:i w:val="0"/>
          <w:sz w:val="24"/>
          <w:szCs w:val="24"/>
          <w:u w:val="single"/>
        </w:rPr>
        <w:t>Properties Selected</w:t>
      </w:r>
    </w:p>
    <w:p w:rsidR="00E24C2F" w:rsidRPr="00E24C2F" w:rsidRDefault="00E24C2F" w:rsidP="00E24C2F">
      <w:pPr>
        <w:spacing w:after="0" w:line="240" w:lineRule="auto"/>
      </w:pPr>
    </w:p>
    <w:p w:rsidR="00353342" w:rsidRDefault="00E24C2F" w:rsidP="0097037A">
      <w:pPr>
        <w:pStyle w:val="Heading5"/>
        <w:numPr>
          <w:ilvl w:val="0"/>
          <w:numId w:val="0"/>
        </w:numPr>
        <w:spacing w:before="0" w:line="240" w:lineRule="auto"/>
        <w:rPr>
          <w:rFonts w:ascii="Times New Roman" w:hAnsi="Times New Roman" w:cs="Times New Roman"/>
          <w:i/>
          <w:color w:val="auto"/>
          <w:sz w:val="24"/>
          <w:szCs w:val="24"/>
        </w:rPr>
      </w:pPr>
      <w:r w:rsidRPr="0023357B">
        <w:rPr>
          <w:rFonts w:ascii="Times New Roman" w:hAnsi="Times New Roman" w:cs="Times New Roman"/>
          <w:i/>
          <w:color w:val="auto"/>
          <w:sz w:val="24"/>
          <w:szCs w:val="24"/>
        </w:rPr>
        <w:t>Condition of Properties</w:t>
      </w:r>
    </w:p>
    <w:p w:rsidR="0097037A" w:rsidRPr="0097037A" w:rsidRDefault="0097037A" w:rsidP="0097037A">
      <w:pPr>
        <w:spacing w:after="0" w:line="240" w:lineRule="auto"/>
      </w:pPr>
    </w:p>
    <w:p w:rsidR="00BF1BFE" w:rsidRDefault="00E27618" w:rsidP="00AF47B6">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HPD has stated</w:t>
      </w:r>
      <w:r w:rsidR="00521CDD">
        <w:rPr>
          <w:rFonts w:ascii="Times New Roman" w:hAnsi="Times New Roman"/>
          <w:sz w:val="24"/>
          <w:szCs w:val="24"/>
        </w:rPr>
        <w:t xml:space="preserve"> </w:t>
      </w:r>
      <w:r w:rsidR="00914429">
        <w:rPr>
          <w:rFonts w:ascii="Times New Roman" w:hAnsi="Times New Roman"/>
          <w:sz w:val="24"/>
          <w:szCs w:val="24"/>
        </w:rPr>
        <w:t>that the</w:t>
      </w:r>
      <w:r w:rsidR="00914429" w:rsidRPr="00914429">
        <w:rPr>
          <w:rFonts w:ascii="Times New Roman" w:hAnsi="Times New Roman"/>
          <w:sz w:val="24"/>
          <w:szCs w:val="24"/>
        </w:rPr>
        <w:t xml:space="preserve"> Program focuses on distressed pro</w:t>
      </w:r>
      <w:r w:rsidR="003344DA">
        <w:rPr>
          <w:rFonts w:ascii="Times New Roman" w:hAnsi="Times New Roman"/>
          <w:sz w:val="24"/>
          <w:szCs w:val="24"/>
        </w:rPr>
        <w:t xml:space="preserve">perties with </w:t>
      </w:r>
      <w:r w:rsidR="006F3E52">
        <w:rPr>
          <w:rFonts w:ascii="Times New Roman" w:hAnsi="Times New Roman"/>
          <w:sz w:val="24"/>
          <w:szCs w:val="24"/>
        </w:rPr>
        <w:t xml:space="preserve">bad actor </w:t>
      </w:r>
      <w:r w:rsidR="0023357B">
        <w:rPr>
          <w:rFonts w:ascii="Times New Roman" w:hAnsi="Times New Roman"/>
          <w:sz w:val="24"/>
          <w:szCs w:val="24"/>
        </w:rPr>
        <w:t>landlords.</w:t>
      </w:r>
      <w:r w:rsidR="00914429">
        <w:rPr>
          <w:rStyle w:val="FootnoteReference"/>
          <w:rFonts w:ascii="Times New Roman" w:hAnsi="Times New Roman"/>
          <w:sz w:val="24"/>
          <w:szCs w:val="24"/>
        </w:rPr>
        <w:footnoteReference w:id="39"/>
      </w:r>
      <w:r w:rsidR="0023357B">
        <w:rPr>
          <w:rFonts w:ascii="Times New Roman" w:hAnsi="Times New Roman"/>
          <w:sz w:val="24"/>
          <w:szCs w:val="24"/>
        </w:rPr>
        <w:t xml:space="preserve"> </w:t>
      </w:r>
      <w:r w:rsidR="00A81A54">
        <w:rPr>
          <w:rFonts w:ascii="Times New Roman" w:hAnsi="Times New Roman"/>
          <w:sz w:val="24"/>
          <w:szCs w:val="24"/>
        </w:rPr>
        <w:t>However, h</w:t>
      </w:r>
      <w:r w:rsidR="00DE1FB5">
        <w:rPr>
          <w:rFonts w:ascii="Times New Roman" w:eastAsia="Times New Roman" w:hAnsi="Times New Roman"/>
          <w:color w:val="212121"/>
          <w:sz w:val="24"/>
          <w:szCs w:val="24"/>
        </w:rPr>
        <w:t xml:space="preserve">alf </w:t>
      </w:r>
      <w:r w:rsidR="00BF1BFE" w:rsidRPr="002102D6">
        <w:rPr>
          <w:rFonts w:ascii="Times New Roman" w:hAnsi="Times New Roman"/>
          <w:sz w:val="24"/>
          <w:szCs w:val="24"/>
        </w:rPr>
        <w:t>of the properties selected</w:t>
      </w:r>
      <w:r w:rsidR="00BF1BFE">
        <w:rPr>
          <w:rFonts w:ascii="Times New Roman" w:hAnsi="Times New Roman"/>
          <w:sz w:val="24"/>
          <w:szCs w:val="24"/>
        </w:rPr>
        <w:t xml:space="preserve"> for Round X (210 out of 420)</w:t>
      </w:r>
      <w:r w:rsidR="00BF1BFE" w:rsidRPr="002102D6">
        <w:rPr>
          <w:rFonts w:ascii="Times New Roman" w:hAnsi="Times New Roman"/>
          <w:sz w:val="24"/>
          <w:szCs w:val="24"/>
        </w:rPr>
        <w:t xml:space="preserve"> were not statutorily </w:t>
      </w:r>
      <w:r w:rsidR="00F96381">
        <w:rPr>
          <w:rFonts w:ascii="Times New Roman" w:hAnsi="Times New Roman"/>
          <w:sz w:val="24"/>
          <w:szCs w:val="24"/>
        </w:rPr>
        <w:t xml:space="preserve">distressed because they were not subject to a tax lien </w:t>
      </w:r>
      <w:r w:rsidR="00B83AFB">
        <w:rPr>
          <w:rFonts w:ascii="Times New Roman" w:hAnsi="Times New Roman"/>
          <w:sz w:val="24"/>
          <w:szCs w:val="24"/>
        </w:rPr>
        <w:t xml:space="preserve">with a </w:t>
      </w:r>
      <w:r w:rsidR="00F96381">
        <w:rPr>
          <w:rFonts w:ascii="Times New Roman" w:hAnsi="Times New Roman"/>
          <w:sz w:val="24"/>
          <w:szCs w:val="24"/>
        </w:rPr>
        <w:t xml:space="preserve">lien </w:t>
      </w:r>
      <w:r w:rsidR="00BF1BFE" w:rsidRPr="002102D6">
        <w:rPr>
          <w:rFonts w:ascii="Times New Roman" w:hAnsi="Times New Roman"/>
          <w:sz w:val="24"/>
          <w:szCs w:val="24"/>
        </w:rPr>
        <w:t>to value ratio greater than or equal to 15%.</w:t>
      </w:r>
      <w:r w:rsidR="00B44E0F">
        <w:rPr>
          <w:rStyle w:val="FootnoteReference"/>
          <w:rFonts w:ascii="Times New Roman" w:hAnsi="Times New Roman"/>
          <w:sz w:val="24"/>
          <w:szCs w:val="24"/>
        </w:rPr>
        <w:footnoteReference w:id="40"/>
      </w:r>
      <w:r w:rsidR="006D5726">
        <w:rPr>
          <w:rFonts w:ascii="Times New Roman" w:hAnsi="Times New Roman"/>
          <w:sz w:val="24"/>
          <w:szCs w:val="24"/>
        </w:rPr>
        <w:t xml:space="preserve"> </w:t>
      </w:r>
      <w:r w:rsidR="0019757F">
        <w:rPr>
          <w:rFonts w:ascii="Times New Roman" w:hAnsi="Times New Roman"/>
          <w:sz w:val="24"/>
          <w:szCs w:val="24"/>
        </w:rPr>
        <w:t>Specifically, t</w:t>
      </w:r>
      <w:r w:rsidR="00B751E6">
        <w:rPr>
          <w:rFonts w:ascii="Times New Roman" w:hAnsi="Times New Roman"/>
          <w:sz w:val="24"/>
          <w:szCs w:val="24"/>
        </w:rPr>
        <w:t xml:space="preserve">he average </w:t>
      </w:r>
      <w:r w:rsidR="00057B32">
        <w:rPr>
          <w:rFonts w:ascii="Times New Roman" w:hAnsi="Times New Roman"/>
          <w:sz w:val="24"/>
          <w:szCs w:val="24"/>
        </w:rPr>
        <w:t xml:space="preserve">lien to value ratio for these </w:t>
      </w:r>
      <w:r w:rsidR="00F773F6">
        <w:rPr>
          <w:rFonts w:ascii="Times New Roman" w:hAnsi="Times New Roman"/>
          <w:sz w:val="24"/>
          <w:szCs w:val="24"/>
        </w:rPr>
        <w:t xml:space="preserve">210 </w:t>
      </w:r>
      <w:r w:rsidR="00057B32">
        <w:rPr>
          <w:rFonts w:ascii="Times New Roman" w:hAnsi="Times New Roman"/>
          <w:sz w:val="24"/>
          <w:szCs w:val="24"/>
        </w:rPr>
        <w:t xml:space="preserve">properties was </w:t>
      </w:r>
      <w:r w:rsidR="009273AA">
        <w:rPr>
          <w:rFonts w:ascii="Times New Roman" w:hAnsi="Times New Roman"/>
          <w:sz w:val="24"/>
          <w:szCs w:val="24"/>
        </w:rPr>
        <w:t xml:space="preserve">only </w:t>
      </w:r>
      <w:r w:rsidR="00D13C04">
        <w:rPr>
          <w:rFonts w:ascii="Times New Roman" w:hAnsi="Times New Roman"/>
          <w:sz w:val="24"/>
          <w:szCs w:val="24"/>
        </w:rPr>
        <w:t>3</w:t>
      </w:r>
      <w:r w:rsidR="00057B32">
        <w:rPr>
          <w:rFonts w:ascii="Times New Roman" w:hAnsi="Times New Roman"/>
          <w:sz w:val="24"/>
          <w:szCs w:val="24"/>
        </w:rPr>
        <w:t xml:space="preserve">%, </w:t>
      </w:r>
      <w:r w:rsidR="009273AA">
        <w:rPr>
          <w:rFonts w:ascii="Times New Roman" w:hAnsi="Times New Roman"/>
          <w:sz w:val="24"/>
          <w:szCs w:val="24"/>
        </w:rPr>
        <w:t>far</w:t>
      </w:r>
      <w:r w:rsidR="00057B32">
        <w:rPr>
          <w:rFonts w:ascii="Times New Roman" w:hAnsi="Times New Roman"/>
          <w:sz w:val="24"/>
          <w:szCs w:val="24"/>
        </w:rPr>
        <w:t xml:space="preserve"> below the 15%</w:t>
      </w:r>
      <w:r w:rsidR="00E35790">
        <w:rPr>
          <w:rFonts w:ascii="Times New Roman" w:hAnsi="Times New Roman"/>
          <w:sz w:val="24"/>
          <w:szCs w:val="24"/>
        </w:rPr>
        <w:t xml:space="preserve"> required to </w:t>
      </w:r>
      <w:r w:rsidR="006F3E52">
        <w:rPr>
          <w:rFonts w:ascii="Times New Roman" w:hAnsi="Times New Roman"/>
          <w:sz w:val="24"/>
          <w:szCs w:val="24"/>
        </w:rPr>
        <w:t>meet the statutory definition of distressed</w:t>
      </w:r>
      <w:r w:rsidR="00057B32">
        <w:rPr>
          <w:rFonts w:ascii="Times New Roman" w:hAnsi="Times New Roman"/>
          <w:sz w:val="24"/>
          <w:szCs w:val="24"/>
        </w:rPr>
        <w:t xml:space="preserve">.  </w:t>
      </w:r>
      <w:r w:rsidR="006D5726">
        <w:rPr>
          <w:rFonts w:ascii="Times New Roman" w:hAnsi="Times New Roman"/>
          <w:sz w:val="24"/>
          <w:szCs w:val="24"/>
        </w:rPr>
        <w:t>Moreover, 155 of the</w:t>
      </w:r>
      <w:r w:rsidR="001B6721">
        <w:rPr>
          <w:rFonts w:ascii="Times New Roman" w:hAnsi="Times New Roman"/>
          <w:sz w:val="24"/>
          <w:szCs w:val="24"/>
        </w:rPr>
        <w:t>se</w:t>
      </w:r>
      <w:r w:rsidR="006D5726">
        <w:rPr>
          <w:rFonts w:ascii="Times New Roman" w:hAnsi="Times New Roman"/>
          <w:sz w:val="24"/>
          <w:szCs w:val="24"/>
        </w:rPr>
        <w:t xml:space="preserve"> 210 </w:t>
      </w:r>
      <w:r w:rsidR="001B6721">
        <w:rPr>
          <w:rFonts w:ascii="Times New Roman" w:hAnsi="Times New Roman"/>
          <w:sz w:val="24"/>
          <w:szCs w:val="24"/>
        </w:rPr>
        <w:t xml:space="preserve">properties </w:t>
      </w:r>
      <w:r w:rsidR="00B756C5">
        <w:rPr>
          <w:rFonts w:ascii="Times New Roman" w:hAnsi="Times New Roman"/>
          <w:sz w:val="24"/>
          <w:szCs w:val="24"/>
        </w:rPr>
        <w:t>did not</w:t>
      </w:r>
      <w:r w:rsidR="006D5726">
        <w:rPr>
          <w:rFonts w:ascii="Times New Roman" w:hAnsi="Times New Roman"/>
          <w:sz w:val="24"/>
          <w:szCs w:val="24"/>
        </w:rPr>
        <w:t xml:space="preserve"> have five or more B or</w:t>
      </w:r>
      <w:r w:rsidR="001B6721">
        <w:rPr>
          <w:rFonts w:ascii="Times New Roman" w:hAnsi="Times New Roman"/>
          <w:sz w:val="24"/>
          <w:szCs w:val="24"/>
        </w:rPr>
        <w:t xml:space="preserve"> </w:t>
      </w:r>
      <w:r w:rsidR="00BB7689">
        <w:rPr>
          <w:rFonts w:ascii="Times New Roman" w:hAnsi="Times New Roman"/>
          <w:sz w:val="24"/>
          <w:szCs w:val="24"/>
        </w:rPr>
        <w:t xml:space="preserve">C </w:t>
      </w:r>
      <w:r w:rsidR="004C5334">
        <w:rPr>
          <w:rFonts w:ascii="Times New Roman" w:hAnsi="Times New Roman"/>
          <w:sz w:val="24"/>
          <w:szCs w:val="24"/>
        </w:rPr>
        <w:t>violations per dwelling unit.</w:t>
      </w:r>
      <w:r w:rsidR="009002E1">
        <w:rPr>
          <w:rFonts w:ascii="Times New Roman" w:hAnsi="Times New Roman"/>
          <w:sz w:val="24"/>
          <w:szCs w:val="24"/>
        </w:rPr>
        <w:t xml:space="preserve"> </w:t>
      </w:r>
      <w:r w:rsidR="003C371B">
        <w:rPr>
          <w:rFonts w:ascii="Times New Roman" w:hAnsi="Times New Roman"/>
          <w:sz w:val="24"/>
          <w:szCs w:val="24"/>
        </w:rPr>
        <w:t xml:space="preserve">Ultimately, </w:t>
      </w:r>
      <w:r w:rsidR="005260DA">
        <w:rPr>
          <w:rFonts w:ascii="Times New Roman" w:eastAsiaTheme="minorHAnsi" w:hAnsi="Times New Roman"/>
          <w:sz w:val="24"/>
          <w:szCs w:val="24"/>
        </w:rPr>
        <w:t>four of the</w:t>
      </w:r>
      <w:r w:rsidR="005260DA" w:rsidRPr="00857ADC">
        <w:rPr>
          <w:rFonts w:ascii="Times New Roman" w:eastAsiaTheme="minorHAnsi" w:hAnsi="Times New Roman"/>
          <w:sz w:val="24"/>
          <w:szCs w:val="24"/>
        </w:rPr>
        <w:t xml:space="preserve"> </w:t>
      </w:r>
      <w:r w:rsidR="00CC61B7">
        <w:rPr>
          <w:rFonts w:ascii="Times New Roman" w:eastAsiaTheme="minorHAnsi" w:hAnsi="Times New Roman"/>
          <w:sz w:val="24"/>
          <w:szCs w:val="24"/>
        </w:rPr>
        <w:t xml:space="preserve">65 </w:t>
      </w:r>
      <w:r w:rsidR="005260DA" w:rsidRPr="00857ADC">
        <w:rPr>
          <w:rFonts w:ascii="Times New Roman" w:eastAsiaTheme="minorHAnsi" w:hAnsi="Times New Roman"/>
          <w:sz w:val="24"/>
          <w:szCs w:val="24"/>
        </w:rPr>
        <w:t xml:space="preserve">properties </w:t>
      </w:r>
      <w:r w:rsidR="00521CDD">
        <w:rPr>
          <w:rFonts w:ascii="Times New Roman" w:eastAsiaTheme="minorHAnsi" w:hAnsi="Times New Roman"/>
          <w:sz w:val="24"/>
          <w:szCs w:val="24"/>
        </w:rPr>
        <w:t>transferred</w:t>
      </w:r>
      <w:r w:rsidR="003C371B">
        <w:rPr>
          <w:rFonts w:ascii="Times New Roman" w:eastAsiaTheme="minorHAnsi" w:hAnsi="Times New Roman"/>
          <w:sz w:val="24"/>
          <w:szCs w:val="24"/>
        </w:rPr>
        <w:t xml:space="preserve"> </w:t>
      </w:r>
      <w:r w:rsidR="00FA4668">
        <w:rPr>
          <w:rFonts w:ascii="Times New Roman" w:eastAsiaTheme="minorHAnsi" w:hAnsi="Times New Roman"/>
          <w:sz w:val="24"/>
          <w:szCs w:val="24"/>
        </w:rPr>
        <w:t xml:space="preserve">to Neighborhood Restore </w:t>
      </w:r>
      <w:r w:rsidR="005260DA" w:rsidRPr="00857ADC">
        <w:rPr>
          <w:rFonts w:ascii="Times New Roman" w:eastAsiaTheme="minorHAnsi" w:hAnsi="Times New Roman"/>
          <w:sz w:val="24"/>
          <w:szCs w:val="24"/>
        </w:rPr>
        <w:t xml:space="preserve">had </w:t>
      </w:r>
      <w:r w:rsidR="005260DA">
        <w:rPr>
          <w:rFonts w:ascii="Times New Roman" w:eastAsiaTheme="minorHAnsi" w:hAnsi="Times New Roman"/>
          <w:sz w:val="24"/>
          <w:szCs w:val="24"/>
        </w:rPr>
        <w:t>lien to value ratios below 15%</w:t>
      </w:r>
      <w:r w:rsidR="00272B42">
        <w:rPr>
          <w:rFonts w:ascii="Times New Roman" w:eastAsiaTheme="minorHAnsi" w:hAnsi="Times New Roman"/>
          <w:sz w:val="24"/>
          <w:szCs w:val="24"/>
        </w:rPr>
        <w:t xml:space="preserve"> and </w:t>
      </w:r>
      <w:r w:rsidR="00A81A54">
        <w:rPr>
          <w:rFonts w:ascii="Times New Roman" w:eastAsiaTheme="minorHAnsi" w:hAnsi="Times New Roman"/>
          <w:sz w:val="24"/>
          <w:szCs w:val="24"/>
        </w:rPr>
        <w:t xml:space="preserve">were </w:t>
      </w:r>
      <w:r w:rsidR="00272B42">
        <w:rPr>
          <w:rFonts w:ascii="Times New Roman" w:eastAsiaTheme="minorHAnsi" w:hAnsi="Times New Roman"/>
          <w:sz w:val="24"/>
          <w:szCs w:val="24"/>
        </w:rPr>
        <w:t xml:space="preserve">therefore not </w:t>
      </w:r>
      <w:r w:rsidR="00A81A54">
        <w:rPr>
          <w:rFonts w:ascii="Times New Roman" w:eastAsiaTheme="minorHAnsi" w:hAnsi="Times New Roman"/>
          <w:sz w:val="24"/>
          <w:szCs w:val="24"/>
        </w:rPr>
        <w:t xml:space="preserve">statutorily </w:t>
      </w:r>
      <w:r w:rsidR="00272B42">
        <w:rPr>
          <w:rFonts w:ascii="Times New Roman" w:eastAsiaTheme="minorHAnsi" w:hAnsi="Times New Roman"/>
          <w:sz w:val="24"/>
          <w:szCs w:val="24"/>
        </w:rPr>
        <w:t>distressed</w:t>
      </w:r>
      <w:r w:rsidR="005260DA">
        <w:rPr>
          <w:rFonts w:ascii="Times New Roman" w:eastAsiaTheme="minorHAnsi" w:hAnsi="Times New Roman"/>
          <w:sz w:val="24"/>
          <w:szCs w:val="24"/>
        </w:rPr>
        <w:t>.</w:t>
      </w:r>
    </w:p>
    <w:p w:rsidR="009F15AA" w:rsidRDefault="0074710D" w:rsidP="00621390">
      <w:pPr>
        <w:spacing w:after="0" w:line="480" w:lineRule="auto"/>
        <w:ind w:firstLine="720"/>
        <w:jc w:val="both"/>
        <w:rPr>
          <w:rFonts w:ascii="Times New Roman" w:hAnsi="Times New Roman"/>
          <w:sz w:val="24"/>
          <w:szCs w:val="24"/>
        </w:rPr>
      </w:pPr>
      <w:r w:rsidRPr="00A723AE">
        <w:rPr>
          <w:rFonts w:ascii="Times New Roman" w:hAnsi="Times New Roman"/>
          <w:sz w:val="24"/>
          <w:szCs w:val="24"/>
        </w:rPr>
        <w:t xml:space="preserve">The City </w:t>
      </w:r>
      <w:r w:rsidR="000B60D1">
        <w:rPr>
          <w:rFonts w:ascii="Times New Roman" w:hAnsi="Times New Roman"/>
          <w:sz w:val="24"/>
          <w:szCs w:val="24"/>
        </w:rPr>
        <w:t xml:space="preserve">also </w:t>
      </w:r>
      <w:r w:rsidR="003C371B">
        <w:rPr>
          <w:rFonts w:ascii="Times New Roman" w:hAnsi="Times New Roman"/>
          <w:sz w:val="24"/>
          <w:szCs w:val="24"/>
        </w:rPr>
        <w:t xml:space="preserve">claims </w:t>
      </w:r>
      <w:r w:rsidRPr="00A723AE">
        <w:rPr>
          <w:rFonts w:ascii="Times New Roman" w:hAnsi="Times New Roman"/>
          <w:sz w:val="24"/>
          <w:szCs w:val="24"/>
        </w:rPr>
        <w:t xml:space="preserve">that </w:t>
      </w:r>
      <w:r>
        <w:rPr>
          <w:rFonts w:ascii="Times New Roman" w:hAnsi="Times New Roman"/>
          <w:sz w:val="24"/>
          <w:szCs w:val="24"/>
        </w:rPr>
        <w:t>the Administrativ</w:t>
      </w:r>
      <w:r w:rsidR="00857ADC">
        <w:rPr>
          <w:rFonts w:ascii="Times New Roman" w:hAnsi="Times New Roman"/>
          <w:sz w:val="24"/>
          <w:szCs w:val="24"/>
        </w:rPr>
        <w:t xml:space="preserve">e Code </w:t>
      </w:r>
      <w:r w:rsidR="00824A4F">
        <w:rPr>
          <w:rFonts w:ascii="Times New Roman" w:hAnsi="Times New Roman"/>
          <w:sz w:val="24"/>
          <w:szCs w:val="24"/>
        </w:rPr>
        <w:t>permits</w:t>
      </w:r>
      <w:r w:rsidR="00857ADC">
        <w:rPr>
          <w:rFonts w:ascii="Times New Roman" w:hAnsi="Times New Roman"/>
          <w:sz w:val="24"/>
          <w:szCs w:val="24"/>
        </w:rPr>
        <w:t xml:space="preserve"> it to foreclos</w:t>
      </w:r>
      <w:r>
        <w:rPr>
          <w:rFonts w:ascii="Times New Roman" w:hAnsi="Times New Roman"/>
          <w:sz w:val="24"/>
          <w:szCs w:val="24"/>
        </w:rPr>
        <w:t xml:space="preserve">e upon </w:t>
      </w:r>
      <w:r w:rsidRPr="00A723AE">
        <w:rPr>
          <w:rFonts w:ascii="Times New Roman" w:hAnsi="Times New Roman"/>
          <w:sz w:val="24"/>
          <w:szCs w:val="24"/>
        </w:rPr>
        <w:t xml:space="preserve">non-statutorily distressed properties </w:t>
      </w:r>
      <w:r>
        <w:rPr>
          <w:rFonts w:ascii="Times New Roman" w:hAnsi="Times New Roman"/>
          <w:sz w:val="24"/>
          <w:szCs w:val="24"/>
        </w:rPr>
        <w:t xml:space="preserve">in situations </w:t>
      </w:r>
      <w:r w:rsidR="00F96381">
        <w:rPr>
          <w:rFonts w:ascii="Times New Roman" w:hAnsi="Times New Roman"/>
          <w:sz w:val="24"/>
          <w:szCs w:val="24"/>
        </w:rPr>
        <w:t xml:space="preserve">where </w:t>
      </w:r>
      <w:r w:rsidR="003C371B">
        <w:rPr>
          <w:rFonts w:ascii="Times New Roman" w:hAnsi="Times New Roman"/>
          <w:sz w:val="24"/>
          <w:szCs w:val="24"/>
        </w:rPr>
        <w:t>a</w:t>
      </w:r>
      <w:r w:rsidR="003C371B" w:rsidRPr="00A723AE">
        <w:rPr>
          <w:rFonts w:ascii="Times New Roman" w:hAnsi="Times New Roman"/>
          <w:sz w:val="24"/>
          <w:szCs w:val="24"/>
        </w:rPr>
        <w:t xml:space="preserve"> </w:t>
      </w:r>
      <w:r w:rsidRPr="00A723AE">
        <w:rPr>
          <w:rFonts w:ascii="Times New Roman" w:hAnsi="Times New Roman"/>
          <w:sz w:val="24"/>
          <w:szCs w:val="24"/>
        </w:rPr>
        <w:t>propert</w:t>
      </w:r>
      <w:r w:rsidR="003C371B">
        <w:rPr>
          <w:rFonts w:ascii="Times New Roman" w:hAnsi="Times New Roman"/>
          <w:sz w:val="24"/>
          <w:szCs w:val="24"/>
        </w:rPr>
        <w:t>y</w:t>
      </w:r>
      <w:r w:rsidRPr="00A723AE">
        <w:rPr>
          <w:rFonts w:ascii="Times New Roman" w:hAnsi="Times New Roman"/>
          <w:sz w:val="24"/>
          <w:szCs w:val="24"/>
        </w:rPr>
        <w:t xml:space="preserve"> ha</w:t>
      </w:r>
      <w:r w:rsidR="003C371B">
        <w:rPr>
          <w:rFonts w:ascii="Times New Roman" w:hAnsi="Times New Roman"/>
          <w:sz w:val="24"/>
          <w:szCs w:val="24"/>
        </w:rPr>
        <w:t>s a</w:t>
      </w:r>
      <w:r w:rsidRPr="00A723AE">
        <w:rPr>
          <w:rFonts w:ascii="Times New Roman" w:hAnsi="Times New Roman"/>
          <w:sz w:val="24"/>
          <w:szCs w:val="24"/>
        </w:rPr>
        <w:t xml:space="preserve"> lien that make</w:t>
      </w:r>
      <w:r w:rsidR="003C371B">
        <w:rPr>
          <w:rFonts w:ascii="Times New Roman" w:hAnsi="Times New Roman"/>
          <w:sz w:val="24"/>
          <w:szCs w:val="24"/>
        </w:rPr>
        <w:t>s</w:t>
      </w:r>
      <w:r w:rsidRPr="00A723AE">
        <w:rPr>
          <w:rFonts w:ascii="Times New Roman" w:hAnsi="Times New Roman"/>
          <w:sz w:val="24"/>
          <w:szCs w:val="24"/>
        </w:rPr>
        <w:t xml:space="preserve"> </w:t>
      </w:r>
      <w:r w:rsidR="003C371B">
        <w:rPr>
          <w:rFonts w:ascii="Times New Roman" w:hAnsi="Times New Roman"/>
          <w:sz w:val="24"/>
          <w:szCs w:val="24"/>
        </w:rPr>
        <w:t>it</w:t>
      </w:r>
      <w:r w:rsidR="003C371B" w:rsidRPr="00A723AE">
        <w:rPr>
          <w:rFonts w:ascii="Times New Roman" w:hAnsi="Times New Roman"/>
          <w:sz w:val="24"/>
          <w:szCs w:val="24"/>
        </w:rPr>
        <w:t xml:space="preserve"> </w:t>
      </w:r>
      <w:r w:rsidRPr="00A723AE">
        <w:rPr>
          <w:rFonts w:ascii="Times New Roman" w:hAnsi="Times New Roman"/>
          <w:sz w:val="24"/>
          <w:szCs w:val="24"/>
        </w:rPr>
        <w:t xml:space="preserve">subject to foreclosure and </w:t>
      </w:r>
      <w:r w:rsidR="003C371B">
        <w:rPr>
          <w:rFonts w:ascii="Times New Roman" w:hAnsi="Times New Roman"/>
          <w:sz w:val="24"/>
          <w:szCs w:val="24"/>
        </w:rPr>
        <w:t>is</w:t>
      </w:r>
      <w:r w:rsidR="003C371B" w:rsidRPr="00A723AE">
        <w:rPr>
          <w:rFonts w:ascii="Times New Roman" w:hAnsi="Times New Roman"/>
          <w:sz w:val="24"/>
          <w:szCs w:val="24"/>
        </w:rPr>
        <w:t xml:space="preserve"> </w:t>
      </w:r>
      <w:r w:rsidRPr="00A723AE">
        <w:rPr>
          <w:rFonts w:ascii="Times New Roman" w:hAnsi="Times New Roman"/>
          <w:sz w:val="24"/>
          <w:szCs w:val="24"/>
        </w:rPr>
        <w:t xml:space="preserve">located on the same tax block as </w:t>
      </w:r>
      <w:r w:rsidR="003C371B">
        <w:rPr>
          <w:rFonts w:ascii="Times New Roman" w:hAnsi="Times New Roman"/>
          <w:sz w:val="24"/>
          <w:szCs w:val="24"/>
        </w:rPr>
        <w:t>another</w:t>
      </w:r>
      <w:r w:rsidR="003C371B" w:rsidRPr="00A723AE">
        <w:rPr>
          <w:rFonts w:ascii="Times New Roman" w:hAnsi="Times New Roman"/>
          <w:sz w:val="24"/>
          <w:szCs w:val="24"/>
        </w:rPr>
        <w:t xml:space="preserve"> </w:t>
      </w:r>
      <w:r w:rsidRPr="00A723AE">
        <w:rPr>
          <w:rFonts w:ascii="Times New Roman" w:hAnsi="Times New Roman"/>
          <w:sz w:val="24"/>
          <w:szCs w:val="24"/>
        </w:rPr>
        <w:t>propert</w:t>
      </w:r>
      <w:r w:rsidR="003C371B">
        <w:rPr>
          <w:rFonts w:ascii="Times New Roman" w:hAnsi="Times New Roman"/>
          <w:sz w:val="24"/>
          <w:szCs w:val="24"/>
        </w:rPr>
        <w:t>y</w:t>
      </w:r>
      <w:r w:rsidRPr="00A723AE">
        <w:rPr>
          <w:rFonts w:ascii="Times New Roman" w:hAnsi="Times New Roman"/>
          <w:sz w:val="24"/>
          <w:szCs w:val="24"/>
        </w:rPr>
        <w:t xml:space="preserve"> selected for TPT</w:t>
      </w:r>
      <w:r w:rsidRPr="006338D2">
        <w:rPr>
          <w:rFonts w:ascii="Times New Roman" w:hAnsi="Times New Roman"/>
          <w:sz w:val="24"/>
          <w:szCs w:val="24"/>
        </w:rPr>
        <w:t>.</w:t>
      </w:r>
      <w:r w:rsidRPr="006338D2">
        <w:rPr>
          <w:rStyle w:val="FootnoteReference"/>
          <w:rFonts w:ascii="Times New Roman" w:hAnsi="Times New Roman"/>
          <w:sz w:val="24"/>
          <w:szCs w:val="24"/>
        </w:rPr>
        <w:footnoteReference w:id="41"/>
      </w:r>
      <w:r w:rsidR="00FE2914">
        <w:rPr>
          <w:rFonts w:ascii="Times New Roman" w:hAnsi="Times New Roman"/>
          <w:sz w:val="24"/>
          <w:szCs w:val="24"/>
        </w:rPr>
        <w:t xml:space="preserve"> This may serve to explain why certain non-statutorily distressed </w:t>
      </w:r>
      <w:r w:rsidR="00F86599">
        <w:rPr>
          <w:rFonts w:ascii="Times New Roman" w:hAnsi="Times New Roman"/>
          <w:sz w:val="24"/>
          <w:szCs w:val="24"/>
        </w:rPr>
        <w:t>properties were included in the</w:t>
      </w:r>
      <w:r w:rsidR="00FE2914">
        <w:rPr>
          <w:rFonts w:ascii="Times New Roman" w:hAnsi="Times New Roman"/>
          <w:sz w:val="24"/>
          <w:szCs w:val="24"/>
        </w:rPr>
        <w:t xml:space="preserve"> most recent TPT Round.</w:t>
      </w:r>
      <w:r w:rsidR="00841F66">
        <w:rPr>
          <w:rFonts w:ascii="Times New Roman" w:hAnsi="Times New Roman"/>
          <w:sz w:val="24"/>
          <w:szCs w:val="24"/>
        </w:rPr>
        <w:t xml:space="preserve"> </w:t>
      </w:r>
      <w:r w:rsidR="00824A4F">
        <w:rPr>
          <w:rFonts w:ascii="Times New Roman" w:hAnsi="Times New Roman"/>
          <w:sz w:val="24"/>
          <w:szCs w:val="24"/>
        </w:rPr>
        <w:t xml:space="preserve">However, </w:t>
      </w:r>
      <w:r w:rsidR="00621390" w:rsidRPr="002102D6">
        <w:rPr>
          <w:rFonts w:ascii="Times New Roman" w:hAnsi="Times New Roman"/>
          <w:sz w:val="24"/>
          <w:szCs w:val="24"/>
        </w:rPr>
        <w:t>33</w:t>
      </w:r>
      <w:r w:rsidR="00920E5B">
        <w:rPr>
          <w:rFonts w:ascii="Times New Roman" w:hAnsi="Times New Roman"/>
          <w:sz w:val="24"/>
          <w:szCs w:val="24"/>
        </w:rPr>
        <w:t xml:space="preserve"> </w:t>
      </w:r>
      <w:r w:rsidR="0019707D">
        <w:rPr>
          <w:rFonts w:ascii="Times New Roman" w:hAnsi="Times New Roman"/>
          <w:sz w:val="24"/>
          <w:szCs w:val="24"/>
        </w:rPr>
        <w:t xml:space="preserve">non-statutorily distressed </w:t>
      </w:r>
      <w:r w:rsidR="00920E5B">
        <w:rPr>
          <w:rFonts w:ascii="Times New Roman" w:hAnsi="Times New Roman"/>
          <w:sz w:val="24"/>
          <w:szCs w:val="24"/>
        </w:rPr>
        <w:t xml:space="preserve">properties included in Round X </w:t>
      </w:r>
      <w:r w:rsidR="0019707D">
        <w:rPr>
          <w:rFonts w:ascii="Times New Roman" w:hAnsi="Times New Roman"/>
          <w:sz w:val="24"/>
          <w:szCs w:val="24"/>
        </w:rPr>
        <w:t xml:space="preserve">were not </w:t>
      </w:r>
      <w:r w:rsidR="00920E5B">
        <w:rPr>
          <w:rFonts w:ascii="Times New Roman" w:hAnsi="Times New Roman"/>
          <w:sz w:val="24"/>
          <w:szCs w:val="24"/>
        </w:rPr>
        <w:t>located</w:t>
      </w:r>
      <w:r w:rsidR="00621390" w:rsidRPr="002102D6">
        <w:rPr>
          <w:rFonts w:ascii="Times New Roman" w:hAnsi="Times New Roman"/>
          <w:sz w:val="24"/>
          <w:szCs w:val="24"/>
        </w:rPr>
        <w:t xml:space="preserve"> on the same </w:t>
      </w:r>
      <w:r w:rsidR="007374D5">
        <w:rPr>
          <w:rFonts w:ascii="Times New Roman" w:hAnsi="Times New Roman"/>
          <w:sz w:val="24"/>
          <w:szCs w:val="24"/>
        </w:rPr>
        <w:t xml:space="preserve">tax </w:t>
      </w:r>
      <w:r w:rsidR="00621390" w:rsidRPr="002102D6">
        <w:rPr>
          <w:rFonts w:ascii="Times New Roman" w:hAnsi="Times New Roman"/>
          <w:sz w:val="24"/>
          <w:szCs w:val="24"/>
        </w:rPr>
        <w:t>block as a</w:t>
      </w:r>
      <w:r w:rsidR="007D4171">
        <w:rPr>
          <w:rFonts w:ascii="Times New Roman" w:hAnsi="Times New Roman"/>
          <w:sz w:val="24"/>
          <w:szCs w:val="24"/>
        </w:rPr>
        <w:t>n</w:t>
      </w:r>
      <w:r w:rsidR="00621390">
        <w:rPr>
          <w:rFonts w:ascii="Times New Roman" w:hAnsi="Times New Roman"/>
          <w:sz w:val="24"/>
          <w:szCs w:val="24"/>
        </w:rPr>
        <w:t xml:space="preserve">other </w:t>
      </w:r>
      <w:r w:rsidR="00E647D1">
        <w:rPr>
          <w:rFonts w:ascii="Times New Roman" w:hAnsi="Times New Roman"/>
          <w:sz w:val="24"/>
          <w:szCs w:val="24"/>
        </w:rPr>
        <w:t>property</w:t>
      </w:r>
      <w:r w:rsidR="00931FBE">
        <w:rPr>
          <w:rFonts w:ascii="Times New Roman" w:hAnsi="Times New Roman"/>
          <w:sz w:val="24"/>
          <w:szCs w:val="24"/>
        </w:rPr>
        <w:t xml:space="preserve"> selected for the Program</w:t>
      </w:r>
      <w:r w:rsidR="00547EF2">
        <w:rPr>
          <w:rFonts w:ascii="Times New Roman" w:hAnsi="Times New Roman"/>
          <w:sz w:val="24"/>
          <w:szCs w:val="24"/>
        </w:rPr>
        <w:t xml:space="preserve">. </w:t>
      </w:r>
      <w:r w:rsidR="00D67B31">
        <w:rPr>
          <w:rFonts w:ascii="Times New Roman" w:hAnsi="Times New Roman"/>
          <w:sz w:val="24"/>
          <w:szCs w:val="24"/>
        </w:rPr>
        <w:t xml:space="preserve">This raises </w:t>
      </w:r>
      <w:r w:rsidR="0019707D">
        <w:rPr>
          <w:rFonts w:ascii="Times New Roman" w:hAnsi="Times New Roman"/>
          <w:sz w:val="24"/>
          <w:szCs w:val="24"/>
        </w:rPr>
        <w:t>questions as to why they were designated for inclusion</w:t>
      </w:r>
      <w:r w:rsidR="00621390">
        <w:rPr>
          <w:rFonts w:ascii="Times New Roman" w:hAnsi="Times New Roman"/>
          <w:sz w:val="24"/>
          <w:szCs w:val="24"/>
        </w:rPr>
        <w:t xml:space="preserve">.  </w:t>
      </w:r>
    </w:p>
    <w:p w:rsidR="0001676A" w:rsidRDefault="00D2036A" w:rsidP="0001676A">
      <w:pPr>
        <w:keepNext/>
        <w:spacing w:after="0" w:line="480" w:lineRule="auto"/>
        <w:jc w:val="cente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343.8pt">
            <v:imagedata r:id="rId9" o:title="tpt2_v3"/>
          </v:shape>
        </w:pict>
      </w:r>
    </w:p>
    <w:p w:rsidR="00C763DF" w:rsidRPr="00AE79E2" w:rsidRDefault="0001676A" w:rsidP="0001676A">
      <w:pPr>
        <w:pStyle w:val="Caption"/>
        <w:jc w:val="center"/>
        <w:rPr>
          <w:rFonts w:ascii="Times New Roman" w:hAnsi="Times New Roman"/>
          <w:sz w:val="24"/>
          <w:szCs w:val="24"/>
        </w:rPr>
      </w:pPr>
      <w:r w:rsidRPr="00AE79E2">
        <w:rPr>
          <w:rFonts w:ascii="Times New Roman" w:hAnsi="Times New Roman"/>
        </w:rPr>
        <w:t xml:space="preserve">Figure </w:t>
      </w:r>
      <w:r w:rsidRPr="00AE79E2">
        <w:rPr>
          <w:rFonts w:ascii="Times New Roman" w:hAnsi="Times New Roman"/>
        </w:rPr>
        <w:fldChar w:fldCharType="begin"/>
      </w:r>
      <w:r w:rsidRPr="00AE79E2">
        <w:rPr>
          <w:rFonts w:ascii="Times New Roman" w:hAnsi="Times New Roman"/>
        </w:rPr>
        <w:instrText xml:space="preserve"> SEQ Figure \* ARABIC </w:instrText>
      </w:r>
      <w:r w:rsidRPr="00AE79E2">
        <w:rPr>
          <w:rFonts w:ascii="Times New Roman" w:hAnsi="Times New Roman"/>
        </w:rPr>
        <w:fldChar w:fldCharType="separate"/>
      </w:r>
      <w:r w:rsidR="00A407AB">
        <w:rPr>
          <w:rFonts w:ascii="Times New Roman" w:hAnsi="Times New Roman"/>
          <w:noProof/>
        </w:rPr>
        <w:t>1</w:t>
      </w:r>
      <w:r w:rsidRPr="00AE79E2">
        <w:rPr>
          <w:rFonts w:ascii="Times New Roman" w:hAnsi="Times New Roman"/>
        </w:rPr>
        <w:fldChar w:fldCharType="end"/>
      </w:r>
      <w:r w:rsidRPr="00AE79E2">
        <w:rPr>
          <w:rFonts w:ascii="Times New Roman" w:hAnsi="Times New Roman"/>
        </w:rPr>
        <w:t>. Non-Distressed Properties Selected for TPT shown by Lien to Value Ratio and Number of B &amp; C Violations per Dwelling Unit</w:t>
      </w:r>
    </w:p>
    <w:p w:rsidR="00A6518F" w:rsidRDefault="0047261A" w:rsidP="00BC2FB7">
      <w:pPr>
        <w:autoSpaceDE w:val="0"/>
        <w:autoSpaceDN w:val="0"/>
        <w:adjustRightInd w:val="0"/>
        <w:spacing w:after="0" w:line="480" w:lineRule="auto"/>
        <w:ind w:firstLine="720"/>
        <w:jc w:val="both"/>
        <w:rPr>
          <w:rFonts w:ascii="Times New Roman" w:hAnsi="Times New Roman"/>
          <w:i/>
          <w:sz w:val="24"/>
          <w:szCs w:val="24"/>
        </w:rPr>
      </w:pPr>
      <w:r>
        <w:rPr>
          <w:rFonts w:ascii="Times New Roman" w:hAnsi="Times New Roman"/>
          <w:sz w:val="24"/>
          <w:szCs w:val="24"/>
        </w:rPr>
        <w:t>A large portion of the properties selected for Round X were worth far more than the amounts owed to the City</w:t>
      </w:r>
      <w:r w:rsidR="003C371B">
        <w:rPr>
          <w:rFonts w:ascii="Times New Roman" w:hAnsi="Times New Roman"/>
          <w:sz w:val="24"/>
          <w:szCs w:val="24"/>
        </w:rPr>
        <w:t>,</w:t>
      </w:r>
      <w:r>
        <w:rPr>
          <w:rFonts w:ascii="Times New Roman" w:hAnsi="Times New Roman"/>
          <w:sz w:val="24"/>
          <w:szCs w:val="24"/>
        </w:rPr>
        <w:t xml:space="preserve"> as evidenced by t</w:t>
      </w:r>
      <w:r w:rsidR="00A74965">
        <w:rPr>
          <w:rFonts w:ascii="Times New Roman" w:hAnsi="Times New Roman"/>
          <w:sz w:val="24"/>
          <w:szCs w:val="24"/>
        </w:rPr>
        <w:t>he</w:t>
      </w:r>
      <w:r w:rsidR="00E97C71">
        <w:rPr>
          <w:rFonts w:ascii="Times New Roman" w:hAnsi="Times New Roman"/>
          <w:sz w:val="24"/>
          <w:szCs w:val="24"/>
        </w:rPr>
        <w:t xml:space="preserve"> low lien to value ratios</w:t>
      </w:r>
      <w:r w:rsidR="00AF3F6E">
        <w:rPr>
          <w:rFonts w:ascii="Times New Roman" w:hAnsi="Times New Roman"/>
          <w:sz w:val="24"/>
          <w:szCs w:val="24"/>
        </w:rPr>
        <w:t>,</w:t>
      </w:r>
      <w:r w:rsidR="00640511">
        <w:rPr>
          <w:rFonts w:ascii="Times New Roman" w:hAnsi="Times New Roman"/>
          <w:sz w:val="24"/>
          <w:szCs w:val="24"/>
        </w:rPr>
        <w:t xml:space="preserve"> and lack</w:t>
      </w:r>
      <w:r w:rsidR="00AF3F6E">
        <w:rPr>
          <w:rFonts w:ascii="Times New Roman" w:hAnsi="Times New Roman"/>
          <w:sz w:val="24"/>
          <w:szCs w:val="24"/>
        </w:rPr>
        <w:t>ed</w:t>
      </w:r>
      <w:r w:rsidR="00640511">
        <w:rPr>
          <w:rFonts w:ascii="Times New Roman" w:hAnsi="Times New Roman"/>
          <w:sz w:val="24"/>
          <w:szCs w:val="24"/>
        </w:rPr>
        <w:t xml:space="preserve"> </w:t>
      </w:r>
      <w:r w:rsidR="00AF3F6E">
        <w:rPr>
          <w:rFonts w:ascii="Times New Roman" w:hAnsi="Times New Roman"/>
          <w:sz w:val="24"/>
          <w:szCs w:val="24"/>
        </w:rPr>
        <w:t>a significant number</w:t>
      </w:r>
      <w:r w:rsidR="009002E1">
        <w:rPr>
          <w:rFonts w:ascii="Times New Roman" w:hAnsi="Times New Roman"/>
          <w:sz w:val="24"/>
          <w:szCs w:val="24"/>
        </w:rPr>
        <w:t xml:space="preserve"> of B and</w:t>
      </w:r>
      <w:r w:rsidR="001853B3">
        <w:rPr>
          <w:rFonts w:ascii="Times New Roman" w:hAnsi="Times New Roman"/>
          <w:sz w:val="24"/>
          <w:szCs w:val="24"/>
        </w:rPr>
        <w:t xml:space="preserve"> C </w:t>
      </w:r>
      <w:r w:rsidR="00AF3F6E">
        <w:rPr>
          <w:rFonts w:ascii="Times New Roman" w:hAnsi="Times New Roman"/>
          <w:sz w:val="24"/>
          <w:szCs w:val="24"/>
        </w:rPr>
        <w:t>violations</w:t>
      </w:r>
      <w:r w:rsidR="00547EF2">
        <w:rPr>
          <w:rFonts w:ascii="Times New Roman" w:hAnsi="Times New Roman"/>
          <w:sz w:val="24"/>
          <w:szCs w:val="24"/>
        </w:rPr>
        <w:t xml:space="preserve"> per dwelling units</w:t>
      </w:r>
      <w:r w:rsidR="00AF3F6E">
        <w:rPr>
          <w:rFonts w:ascii="Times New Roman" w:hAnsi="Times New Roman"/>
          <w:sz w:val="24"/>
          <w:szCs w:val="24"/>
        </w:rPr>
        <w:t>, as shown in Figure 1</w:t>
      </w:r>
      <w:r>
        <w:rPr>
          <w:rFonts w:ascii="Times New Roman" w:hAnsi="Times New Roman"/>
          <w:sz w:val="24"/>
          <w:szCs w:val="24"/>
        </w:rPr>
        <w:t>.</w:t>
      </w:r>
      <w:r w:rsidR="00092DAF">
        <w:rPr>
          <w:rFonts w:ascii="Times New Roman" w:hAnsi="Times New Roman"/>
          <w:sz w:val="24"/>
          <w:szCs w:val="24"/>
        </w:rPr>
        <w:t xml:space="preserve"> </w:t>
      </w:r>
      <w:r w:rsidR="00A6518F">
        <w:rPr>
          <w:rFonts w:ascii="Times New Roman" w:hAnsi="Times New Roman"/>
          <w:sz w:val="24"/>
          <w:szCs w:val="24"/>
        </w:rPr>
        <w:t>According to HPD’s records, while</w:t>
      </w:r>
      <w:r w:rsidR="00CB5C0E">
        <w:rPr>
          <w:rFonts w:ascii="Times New Roman" w:hAnsi="Times New Roman"/>
          <w:sz w:val="24"/>
          <w:szCs w:val="24"/>
        </w:rPr>
        <w:t xml:space="preserve"> the total market value of the 210</w:t>
      </w:r>
      <w:r w:rsidR="00A6518F">
        <w:rPr>
          <w:rFonts w:ascii="Times New Roman" w:hAnsi="Times New Roman"/>
          <w:sz w:val="24"/>
          <w:szCs w:val="24"/>
        </w:rPr>
        <w:t xml:space="preserve"> non-statutorily distressed properties was nearly $152 million, the total </w:t>
      </w:r>
      <w:r w:rsidR="004B0FB1">
        <w:rPr>
          <w:rFonts w:ascii="Times New Roman" w:hAnsi="Times New Roman"/>
          <w:sz w:val="24"/>
          <w:szCs w:val="24"/>
        </w:rPr>
        <w:t>amount of arrears</w:t>
      </w:r>
      <w:r w:rsidR="00532029">
        <w:rPr>
          <w:rFonts w:ascii="Times New Roman" w:hAnsi="Times New Roman"/>
          <w:sz w:val="24"/>
          <w:szCs w:val="24"/>
        </w:rPr>
        <w:t xml:space="preserve"> owed </w:t>
      </w:r>
      <w:r w:rsidR="00CB5C0E">
        <w:rPr>
          <w:rFonts w:ascii="Times New Roman" w:hAnsi="Times New Roman"/>
          <w:sz w:val="24"/>
          <w:szCs w:val="24"/>
        </w:rPr>
        <w:t xml:space="preserve">on such properties </w:t>
      </w:r>
      <w:r w:rsidR="00532029">
        <w:rPr>
          <w:rFonts w:ascii="Times New Roman" w:hAnsi="Times New Roman"/>
          <w:sz w:val="24"/>
          <w:szCs w:val="24"/>
        </w:rPr>
        <w:t xml:space="preserve">was </w:t>
      </w:r>
      <w:r w:rsidR="00A6518F">
        <w:rPr>
          <w:rFonts w:ascii="Times New Roman" w:hAnsi="Times New Roman"/>
          <w:sz w:val="24"/>
          <w:szCs w:val="24"/>
        </w:rPr>
        <w:t>just over $4.5 million.</w:t>
      </w:r>
      <w:r w:rsidR="00A6518F">
        <w:rPr>
          <w:rStyle w:val="FootnoteReference"/>
          <w:rFonts w:ascii="Times New Roman" w:hAnsi="Times New Roman"/>
          <w:sz w:val="24"/>
          <w:szCs w:val="24"/>
        </w:rPr>
        <w:footnoteReference w:id="42"/>
      </w:r>
      <w:r w:rsidR="00A6518F">
        <w:rPr>
          <w:rFonts w:ascii="Times New Roman" w:hAnsi="Times New Roman"/>
          <w:sz w:val="24"/>
          <w:szCs w:val="24"/>
        </w:rPr>
        <w:t xml:space="preserve"> </w:t>
      </w:r>
      <w:r w:rsidR="003C371B">
        <w:rPr>
          <w:rFonts w:ascii="Times New Roman" w:hAnsi="Times New Roman"/>
          <w:sz w:val="24"/>
          <w:szCs w:val="24"/>
        </w:rPr>
        <w:t>For example,</w:t>
      </w:r>
      <w:r w:rsidR="00A6518F">
        <w:rPr>
          <w:rFonts w:ascii="Times New Roman" w:hAnsi="Times New Roman"/>
          <w:sz w:val="24"/>
          <w:szCs w:val="24"/>
        </w:rPr>
        <w:t xml:space="preserve"> </w:t>
      </w:r>
      <w:r w:rsidR="00A53AFD">
        <w:rPr>
          <w:rFonts w:ascii="Times New Roman" w:hAnsi="Times New Roman"/>
          <w:sz w:val="24"/>
          <w:szCs w:val="24"/>
        </w:rPr>
        <w:t xml:space="preserve">one property </w:t>
      </w:r>
      <w:r w:rsidR="00BB3215">
        <w:rPr>
          <w:rFonts w:ascii="Times New Roman" w:hAnsi="Times New Roman"/>
          <w:sz w:val="24"/>
          <w:szCs w:val="24"/>
        </w:rPr>
        <w:t>selected</w:t>
      </w:r>
      <w:r w:rsidR="00A53AFD">
        <w:rPr>
          <w:rFonts w:ascii="Times New Roman" w:hAnsi="Times New Roman"/>
          <w:sz w:val="24"/>
          <w:szCs w:val="24"/>
        </w:rPr>
        <w:t xml:space="preserve"> ha</w:t>
      </w:r>
      <w:r w:rsidR="00385AFF">
        <w:rPr>
          <w:rFonts w:ascii="Times New Roman" w:hAnsi="Times New Roman"/>
          <w:sz w:val="24"/>
          <w:szCs w:val="24"/>
        </w:rPr>
        <w:t>d a market value in 2015 of approximately</w:t>
      </w:r>
      <w:r w:rsidR="00A53AFD">
        <w:rPr>
          <w:rFonts w:ascii="Times New Roman" w:hAnsi="Times New Roman"/>
          <w:sz w:val="24"/>
          <w:szCs w:val="24"/>
        </w:rPr>
        <w:t xml:space="preserve"> $</w:t>
      </w:r>
      <w:r w:rsidR="00BB3215">
        <w:rPr>
          <w:rFonts w:ascii="Times New Roman" w:hAnsi="Times New Roman"/>
          <w:sz w:val="24"/>
          <w:szCs w:val="24"/>
        </w:rPr>
        <w:t>6</w:t>
      </w:r>
      <w:r w:rsidR="003C371B">
        <w:rPr>
          <w:rFonts w:ascii="Times New Roman" w:hAnsi="Times New Roman"/>
          <w:sz w:val="24"/>
          <w:szCs w:val="24"/>
        </w:rPr>
        <w:t xml:space="preserve"> million</w:t>
      </w:r>
      <w:r w:rsidR="00922843">
        <w:rPr>
          <w:rFonts w:ascii="Times New Roman" w:hAnsi="Times New Roman"/>
          <w:sz w:val="24"/>
          <w:szCs w:val="24"/>
        </w:rPr>
        <w:t xml:space="preserve">, </w:t>
      </w:r>
      <w:r w:rsidR="008A5D9D">
        <w:rPr>
          <w:rFonts w:ascii="Times New Roman" w:hAnsi="Times New Roman"/>
          <w:sz w:val="24"/>
          <w:szCs w:val="24"/>
        </w:rPr>
        <w:t xml:space="preserve">only </w:t>
      </w:r>
      <w:r w:rsidR="00BB3215">
        <w:rPr>
          <w:rFonts w:ascii="Times New Roman" w:hAnsi="Times New Roman"/>
          <w:sz w:val="24"/>
          <w:szCs w:val="24"/>
        </w:rPr>
        <w:t>0.16</w:t>
      </w:r>
      <w:r w:rsidR="00922843">
        <w:rPr>
          <w:rFonts w:ascii="Times New Roman" w:hAnsi="Times New Roman"/>
          <w:sz w:val="24"/>
          <w:szCs w:val="24"/>
        </w:rPr>
        <w:t xml:space="preserve"> violations per dwelling unit,</w:t>
      </w:r>
      <w:r w:rsidR="00A53AFD">
        <w:rPr>
          <w:rFonts w:ascii="Times New Roman" w:hAnsi="Times New Roman"/>
          <w:sz w:val="24"/>
          <w:szCs w:val="24"/>
        </w:rPr>
        <w:t xml:space="preserve"> and </w:t>
      </w:r>
      <w:r w:rsidR="00385AFF">
        <w:rPr>
          <w:rFonts w:ascii="Times New Roman" w:hAnsi="Times New Roman"/>
          <w:sz w:val="24"/>
          <w:szCs w:val="24"/>
        </w:rPr>
        <w:t xml:space="preserve">owed </w:t>
      </w:r>
      <w:r w:rsidR="00BB3215">
        <w:rPr>
          <w:rFonts w:ascii="Times New Roman" w:hAnsi="Times New Roman"/>
          <w:sz w:val="24"/>
          <w:szCs w:val="24"/>
        </w:rPr>
        <w:t>$0</w:t>
      </w:r>
      <w:r w:rsidR="00A53AFD">
        <w:rPr>
          <w:rFonts w:ascii="Times New Roman" w:hAnsi="Times New Roman"/>
          <w:sz w:val="24"/>
          <w:szCs w:val="24"/>
        </w:rPr>
        <w:t xml:space="preserve"> in arrears.</w:t>
      </w:r>
      <w:r w:rsidR="00720539">
        <w:rPr>
          <w:rStyle w:val="FootnoteReference"/>
          <w:rFonts w:ascii="Times New Roman" w:hAnsi="Times New Roman"/>
          <w:sz w:val="24"/>
          <w:szCs w:val="24"/>
        </w:rPr>
        <w:footnoteReference w:id="43"/>
      </w:r>
      <w:r>
        <w:rPr>
          <w:rFonts w:ascii="Times New Roman" w:hAnsi="Times New Roman"/>
          <w:sz w:val="24"/>
          <w:szCs w:val="24"/>
        </w:rPr>
        <w:t xml:space="preserve"> </w:t>
      </w:r>
      <w:r w:rsidR="00BB3215">
        <w:rPr>
          <w:rFonts w:ascii="Times New Roman" w:hAnsi="Times New Roman"/>
          <w:sz w:val="24"/>
          <w:szCs w:val="24"/>
        </w:rPr>
        <w:t>Another property selected had a market value in 2015 of approximately $2</w:t>
      </w:r>
      <w:r w:rsidR="003C371B">
        <w:rPr>
          <w:rFonts w:ascii="Times New Roman" w:hAnsi="Times New Roman"/>
          <w:sz w:val="24"/>
          <w:szCs w:val="24"/>
        </w:rPr>
        <w:t>.</w:t>
      </w:r>
      <w:r w:rsidR="00BB3215">
        <w:rPr>
          <w:rFonts w:ascii="Times New Roman" w:hAnsi="Times New Roman"/>
          <w:sz w:val="24"/>
          <w:szCs w:val="24"/>
        </w:rPr>
        <w:t>2</w:t>
      </w:r>
      <w:r w:rsidR="003C371B">
        <w:rPr>
          <w:rFonts w:ascii="Times New Roman" w:hAnsi="Times New Roman"/>
          <w:sz w:val="24"/>
          <w:szCs w:val="24"/>
        </w:rPr>
        <w:t xml:space="preserve"> million</w:t>
      </w:r>
      <w:r w:rsidR="00BB3215">
        <w:rPr>
          <w:rFonts w:ascii="Times New Roman" w:hAnsi="Times New Roman"/>
          <w:sz w:val="24"/>
          <w:szCs w:val="24"/>
        </w:rPr>
        <w:t>, 0 violations per dwelling unit, and only $2,200 in arrears.</w:t>
      </w:r>
      <w:r w:rsidR="00F6423D">
        <w:rPr>
          <w:rStyle w:val="FootnoteReference"/>
          <w:rFonts w:ascii="Times New Roman" w:hAnsi="Times New Roman"/>
          <w:sz w:val="24"/>
          <w:szCs w:val="24"/>
        </w:rPr>
        <w:footnoteReference w:id="44"/>
      </w:r>
      <w:r w:rsidR="009C691E">
        <w:rPr>
          <w:rFonts w:ascii="Times New Roman" w:hAnsi="Times New Roman"/>
          <w:sz w:val="24"/>
          <w:szCs w:val="24"/>
        </w:rPr>
        <w:t xml:space="preserve"> T</w:t>
      </w:r>
      <w:r w:rsidR="00A81A54">
        <w:rPr>
          <w:rFonts w:ascii="Times New Roman" w:hAnsi="Times New Roman"/>
          <w:sz w:val="24"/>
          <w:szCs w:val="24"/>
        </w:rPr>
        <w:t xml:space="preserve">his is significant because owners </w:t>
      </w:r>
      <w:r w:rsidR="00824E11">
        <w:rPr>
          <w:rFonts w:ascii="Times New Roman" w:hAnsi="Times New Roman"/>
          <w:sz w:val="24"/>
          <w:szCs w:val="24"/>
        </w:rPr>
        <w:t xml:space="preserve">of </w:t>
      </w:r>
      <w:r w:rsidR="00A81A54">
        <w:rPr>
          <w:rFonts w:ascii="Times New Roman" w:hAnsi="Times New Roman"/>
          <w:sz w:val="24"/>
          <w:szCs w:val="24"/>
        </w:rPr>
        <w:t>properties selected for TPT face the possibility of losing the equity that has accumulated over time without receiving any compensation in return</w:t>
      </w:r>
      <w:r w:rsidR="00824E11">
        <w:rPr>
          <w:rFonts w:ascii="Times New Roman" w:hAnsi="Times New Roman"/>
          <w:sz w:val="24"/>
          <w:szCs w:val="24"/>
        </w:rPr>
        <w:t xml:space="preserve">. Consequently, the transfer of a property to a third party through TPT can lead to a </w:t>
      </w:r>
      <w:r w:rsidR="00CF40CF">
        <w:rPr>
          <w:rFonts w:ascii="Times New Roman" w:hAnsi="Times New Roman"/>
          <w:sz w:val="24"/>
          <w:szCs w:val="24"/>
        </w:rPr>
        <w:t>loss of a significant intergenerational asset</w:t>
      </w:r>
      <w:r w:rsidR="00A81A54">
        <w:rPr>
          <w:rFonts w:ascii="Times New Roman" w:hAnsi="Times New Roman"/>
          <w:sz w:val="24"/>
          <w:szCs w:val="24"/>
        </w:rPr>
        <w:t xml:space="preserve">.  </w:t>
      </w:r>
    </w:p>
    <w:p w:rsidR="00213852" w:rsidRPr="00B53A96" w:rsidRDefault="00640511" w:rsidP="00213852">
      <w:pPr>
        <w:autoSpaceDE w:val="0"/>
        <w:autoSpaceDN w:val="0"/>
        <w:adjustRightInd w:val="0"/>
        <w:spacing w:after="0" w:line="480" w:lineRule="auto"/>
        <w:jc w:val="both"/>
        <w:rPr>
          <w:rFonts w:ascii="Times New Roman" w:hAnsi="Times New Roman"/>
          <w:i/>
          <w:sz w:val="24"/>
          <w:szCs w:val="24"/>
        </w:rPr>
      </w:pPr>
      <w:r>
        <w:rPr>
          <w:rFonts w:ascii="Times New Roman" w:hAnsi="Times New Roman"/>
          <w:i/>
          <w:sz w:val="24"/>
          <w:szCs w:val="24"/>
        </w:rPr>
        <w:t>Inclusion</w:t>
      </w:r>
      <w:r w:rsidR="00A64CA4">
        <w:rPr>
          <w:rFonts w:ascii="Times New Roman" w:hAnsi="Times New Roman"/>
          <w:i/>
          <w:sz w:val="24"/>
          <w:szCs w:val="24"/>
        </w:rPr>
        <w:t xml:space="preserve"> </w:t>
      </w:r>
      <w:r w:rsidR="00213852" w:rsidRPr="00857ADC">
        <w:rPr>
          <w:rFonts w:ascii="Times New Roman" w:hAnsi="Times New Roman"/>
          <w:i/>
          <w:sz w:val="24"/>
          <w:szCs w:val="24"/>
        </w:rPr>
        <w:t>of HDFCs</w:t>
      </w:r>
      <w:r w:rsidR="00BF3732">
        <w:rPr>
          <w:rFonts w:ascii="Times New Roman" w:hAnsi="Times New Roman"/>
          <w:i/>
          <w:sz w:val="24"/>
          <w:szCs w:val="24"/>
        </w:rPr>
        <w:t xml:space="preserve"> in Round X</w:t>
      </w:r>
    </w:p>
    <w:p w:rsidR="00F02239" w:rsidRDefault="00F02239" w:rsidP="00E2518F">
      <w:pPr>
        <w:spacing w:after="0" w:line="480" w:lineRule="auto"/>
        <w:ind w:firstLine="720"/>
        <w:jc w:val="both"/>
        <w:rPr>
          <w:rFonts w:ascii="Times New Roman" w:eastAsia="Times New Roman" w:hAnsi="Times New Roman"/>
          <w:color w:val="212121"/>
          <w:sz w:val="24"/>
          <w:szCs w:val="24"/>
        </w:rPr>
      </w:pPr>
      <w:r>
        <w:rPr>
          <w:rFonts w:ascii="Times New Roman" w:hAnsi="Times New Roman"/>
          <w:sz w:val="24"/>
          <w:szCs w:val="24"/>
        </w:rPr>
        <w:t>D</w:t>
      </w:r>
      <w:r w:rsidRPr="002C04F6">
        <w:rPr>
          <w:rFonts w:ascii="Times New Roman" w:hAnsi="Times New Roman"/>
          <w:sz w:val="24"/>
          <w:szCs w:val="24"/>
        </w:rPr>
        <w:t xml:space="preserve">uring the financial crisis of the 1970s, the City foreclosed </w:t>
      </w:r>
      <w:r w:rsidR="007D4171">
        <w:rPr>
          <w:rFonts w:ascii="Times New Roman" w:hAnsi="Times New Roman"/>
          <w:sz w:val="24"/>
          <w:szCs w:val="24"/>
        </w:rPr>
        <w:t>up</w:t>
      </w:r>
      <w:r w:rsidR="00547EF2">
        <w:rPr>
          <w:rFonts w:ascii="Times New Roman" w:hAnsi="Times New Roman"/>
          <w:sz w:val="24"/>
          <w:szCs w:val="24"/>
        </w:rPr>
        <w:t>on,</w:t>
      </w:r>
      <w:r>
        <w:rPr>
          <w:rFonts w:ascii="Times New Roman" w:hAnsi="Times New Roman"/>
          <w:sz w:val="24"/>
          <w:szCs w:val="24"/>
        </w:rPr>
        <w:t xml:space="preserve"> </w:t>
      </w:r>
      <w:r w:rsidRPr="002C04F6">
        <w:rPr>
          <w:rFonts w:ascii="Times New Roman" w:hAnsi="Times New Roman"/>
          <w:sz w:val="24"/>
          <w:szCs w:val="24"/>
        </w:rPr>
        <w:t>and acquired</w:t>
      </w:r>
      <w:r w:rsidR="00547EF2">
        <w:rPr>
          <w:rFonts w:ascii="Times New Roman" w:hAnsi="Times New Roman"/>
          <w:sz w:val="24"/>
          <w:szCs w:val="24"/>
        </w:rPr>
        <w:t>,</w:t>
      </w:r>
      <w:r w:rsidRPr="002C04F6">
        <w:rPr>
          <w:rFonts w:ascii="Times New Roman" w:hAnsi="Times New Roman"/>
          <w:sz w:val="24"/>
          <w:szCs w:val="24"/>
        </w:rPr>
        <w:t xml:space="preserve"> </w:t>
      </w:r>
      <w:r w:rsidR="00CB3F8F">
        <w:rPr>
          <w:rFonts w:ascii="Times New Roman" w:hAnsi="Times New Roman"/>
          <w:sz w:val="24"/>
          <w:szCs w:val="24"/>
        </w:rPr>
        <w:t xml:space="preserve">multifamily buildings that were </w:t>
      </w:r>
      <w:r w:rsidRPr="002C04F6">
        <w:rPr>
          <w:rFonts w:ascii="Times New Roman" w:hAnsi="Times New Roman"/>
          <w:sz w:val="24"/>
          <w:szCs w:val="24"/>
        </w:rPr>
        <w:t>abandon</w:t>
      </w:r>
      <w:r>
        <w:rPr>
          <w:rFonts w:ascii="Times New Roman" w:hAnsi="Times New Roman"/>
          <w:sz w:val="24"/>
          <w:szCs w:val="24"/>
        </w:rPr>
        <w:t>ed</w:t>
      </w:r>
      <w:r w:rsidRPr="002C04F6">
        <w:rPr>
          <w:rFonts w:ascii="Times New Roman" w:hAnsi="Times New Roman"/>
          <w:sz w:val="24"/>
          <w:szCs w:val="24"/>
        </w:rPr>
        <w:t xml:space="preserve"> by </w:t>
      </w:r>
      <w:r w:rsidR="00194D59">
        <w:rPr>
          <w:rFonts w:ascii="Times New Roman" w:hAnsi="Times New Roman"/>
          <w:sz w:val="24"/>
          <w:szCs w:val="24"/>
        </w:rPr>
        <w:t>homeowner</w:t>
      </w:r>
      <w:r w:rsidRPr="002C04F6">
        <w:rPr>
          <w:rFonts w:ascii="Times New Roman" w:hAnsi="Times New Roman"/>
          <w:sz w:val="24"/>
          <w:szCs w:val="24"/>
        </w:rPr>
        <w:t>s.</w:t>
      </w:r>
      <w:r w:rsidRPr="002C04F6">
        <w:rPr>
          <w:rFonts w:ascii="Times New Roman" w:hAnsi="Times New Roman"/>
          <w:sz w:val="24"/>
          <w:szCs w:val="24"/>
          <w:vertAlign w:val="superscript"/>
        </w:rPr>
        <w:footnoteReference w:id="45"/>
      </w:r>
      <w:r w:rsidRPr="002C04F6">
        <w:rPr>
          <w:rFonts w:ascii="Times New Roman" w:hAnsi="Times New Roman"/>
          <w:sz w:val="24"/>
          <w:szCs w:val="24"/>
        </w:rPr>
        <w:t xml:space="preserve"> Ultimately, the City created </w:t>
      </w:r>
      <w:r w:rsidR="007A6468">
        <w:rPr>
          <w:rFonts w:ascii="Times New Roman" w:hAnsi="Times New Roman"/>
          <w:sz w:val="24"/>
          <w:szCs w:val="24"/>
        </w:rPr>
        <w:t xml:space="preserve">Housing Development Fund Corporation cooperatives (“HDFCs”) </w:t>
      </w:r>
      <w:r w:rsidRPr="002C04F6">
        <w:rPr>
          <w:rFonts w:ascii="Times New Roman" w:hAnsi="Times New Roman"/>
          <w:sz w:val="24"/>
          <w:szCs w:val="24"/>
        </w:rPr>
        <w:t xml:space="preserve">as a way to sell </w:t>
      </w:r>
      <w:r>
        <w:rPr>
          <w:rFonts w:ascii="Times New Roman" w:hAnsi="Times New Roman"/>
          <w:sz w:val="24"/>
          <w:szCs w:val="24"/>
        </w:rPr>
        <w:t>C</w:t>
      </w:r>
      <w:r w:rsidRPr="002C04F6">
        <w:rPr>
          <w:rFonts w:ascii="Times New Roman" w:hAnsi="Times New Roman"/>
          <w:sz w:val="24"/>
          <w:szCs w:val="24"/>
        </w:rPr>
        <w:t>ity</w:t>
      </w:r>
      <w:r>
        <w:rPr>
          <w:rFonts w:ascii="Times New Roman" w:hAnsi="Times New Roman"/>
          <w:sz w:val="24"/>
          <w:szCs w:val="24"/>
        </w:rPr>
        <w:t>-</w:t>
      </w:r>
      <w:r w:rsidRPr="002C04F6">
        <w:rPr>
          <w:rFonts w:ascii="Times New Roman" w:hAnsi="Times New Roman"/>
          <w:sz w:val="24"/>
          <w:szCs w:val="24"/>
        </w:rPr>
        <w:t>owned multifamily buildings to the tenants</w:t>
      </w:r>
      <w:r>
        <w:rPr>
          <w:rFonts w:ascii="Times New Roman" w:hAnsi="Times New Roman"/>
          <w:sz w:val="24"/>
          <w:szCs w:val="24"/>
        </w:rPr>
        <w:t xml:space="preserve"> of those buildings</w:t>
      </w:r>
      <w:r>
        <w:rPr>
          <w:rStyle w:val="FootnoteReference"/>
          <w:rFonts w:ascii="Times New Roman" w:hAnsi="Times New Roman"/>
          <w:sz w:val="24"/>
          <w:szCs w:val="24"/>
        </w:rPr>
        <w:footnoteReference w:id="46"/>
      </w:r>
      <w:r>
        <w:rPr>
          <w:rFonts w:ascii="Times New Roman" w:hAnsi="Times New Roman"/>
          <w:sz w:val="24"/>
          <w:szCs w:val="24"/>
        </w:rPr>
        <w:t xml:space="preserve"> </w:t>
      </w:r>
      <w:r w:rsidR="00CB3F8F">
        <w:rPr>
          <w:rFonts w:ascii="Times New Roman" w:hAnsi="Times New Roman"/>
          <w:sz w:val="24"/>
          <w:szCs w:val="24"/>
        </w:rPr>
        <w:t xml:space="preserve">and </w:t>
      </w:r>
      <w:r w:rsidRPr="00B53A96">
        <w:rPr>
          <w:rFonts w:ascii="Times New Roman" w:hAnsi="Times New Roman"/>
          <w:sz w:val="24"/>
          <w:szCs w:val="24"/>
        </w:rPr>
        <w:t>provide affordable home ownership opportunities to lower income New Yorkers.</w:t>
      </w:r>
      <w:r w:rsidRPr="00B53A96">
        <w:rPr>
          <w:rStyle w:val="FootnoteReference"/>
          <w:rFonts w:ascii="Times New Roman" w:hAnsi="Times New Roman"/>
          <w:sz w:val="24"/>
          <w:szCs w:val="24"/>
        </w:rPr>
        <w:footnoteReference w:id="47"/>
      </w:r>
      <w:r>
        <w:rPr>
          <w:rFonts w:ascii="Times New Roman" w:hAnsi="Times New Roman"/>
          <w:sz w:val="24"/>
          <w:szCs w:val="24"/>
        </w:rPr>
        <w:t xml:space="preserve"> Residents of these buildings, which were primarily concentrated in </w:t>
      </w:r>
      <w:r w:rsidR="00842E17">
        <w:rPr>
          <w:rFonts w:ascii="Times New Roman" w:hAnsi="Times New Roman"/>
          <w:sz w:val="24"/>
          <w:szCs w:val="24"/>
        </w:rPr>
        <w:t xml:space="preserve">the </w:t>
      </w:r>
      <w:r>
        <w:rPr>
          <w:rFonts w:ascii="Times New Roman" w:hAnsi="Times New Roman"/>
          <w:sz w:val="24"/>
          <w:szCs w:val="24"/>
        </w:rPr>
        <w:t>Lower East Side, Upper Manhattan, Brooklyn, and the South Bronx, were able to purchase shares in the stock of their building</w:t>
      </w:r>
      <w:r w:rsidR="00A35B36">
        <w:rPr>
          <w:rFonts w:ascii="Times New Roman" w:hAnsi="Times New Roman"/>
          <w:sz w:val="24"/>
          <w:szCs w:val="24"/>
        </w:rPr>
        <w:t>s</w:t>
      </w:r>
      <w:r>
        <w:rPr>
          <w:rFonts w:ascii="Times New Roman" w:hAnsi="Times New Roman"/>
          <w:sz w:val="24"/>
          <w:szCs w:val="24"/>
        </w:rPr>
        <w:t xml:space="preserve"> at a reduced price in exchange for taking care of </w:t>
      </w:r>
      <w:r w:rsidR="00A35B36">
        <w:rPr>
          <w:rFonts w:ascii="Times New Roman" w:hAnsi="Times New Roman"/>
          <w:sz w:val="24"/>
          <w:szCs w:val="24"/>
        </w:rPr>
        <w:t xml:space="preserve">such </w:t>
      </w:r>
      <w:r>
        <w:rPr>
          <w:rFonts w:ascii="Times New Roman" w:hAnsi="Times New Roman"/>
          <w:sz w:val="24"/>
          <w:szCs w:val="24"/>
        </w:rPr>
        <w:t>dilapidated building.</w:t>
      </w:r>
      <w:r>
        <w:rPr>
          <w:rStyle w:val="FootnoteReference"/>
          <w:rFonts w:ascii="Times New Roman" w:hAnsi="Times New Roman"/>
          <w:sz w:val="24"/>
          <w:szCs w:val="24"/>
        </w:rPr>
        <w:footnoteReference w:id="48"/>
      </w:r>
      <w:r>
        <w:rPr>
          <w:rFonts w:ascii="Times New Roman" w:hAnsi="Times New Roman"/>
          <w:sz w:val="24"/>
          <w:szCs w:val="24"/>
        </w:rPr>
        <w:t xml:space="preserve"> In exchange for ongoing tax benefits, these HDFCs became subject to owner income restrictions and high re-sale flip-tax provisions</w:t>
      </w:r>
      <w:r w:rsidR="00E73053">
        <w:rPr>
          <w:rStyle w:val="FootnoteReference"/>
          <w:rFonts w:ascii="Times New Roman" w:hAnsi="Times New Roman"/>
          <w:sz w:val="24"/>
          <w:szCs w:val="24"/>
        </w:rPr>
        <w:footnoteReference w:id="49"/>
      </w:r>
      <w:r>
        <w:rPr>
          <w:rFonts w:ascii="Times New Roman" w:hAnsi="Times New Roman"/>
          <w:sz w:val="24"/>
          <w:szCs w:val="24"/>
        </w:rPr>
        <w:t xml:space="preserve"> intended to keep the buildings affordable.</w:t>
      </w:r>
      <w:r w:rsidR="00F2576B">
        <w:rPr>
          <w:rStyle w:val="FootnoteReference"/>
          <w:rFonts w:ascii="Times New Roman" w:hAnsi="Times New Roman"/>
          <w:sz w:val="24"/>
          <w:szCs w:val="24"/>
        </w:rPr>
        <w:footnoteReference w:id="50"/>
      </w:r>
      <w:r>
        <w:rPr>
          <w:rFonts w:ascii="Times New Roman" w:hAnsi="Times New Roman"/>
          <w:sz w:val="24"/>
          <w:szCs w:val="24"/>
        </w:rPr>
        <w:t xml:space="preserve"> </w:t>
      </w:r>
      <w:r w:rsidRPr="00952C70">
        <w:rPr>
          <w:rFonts w:ascii="Times New Roman" w:hAnsi="Times New Roman"/>
          <w:sz w:val="24"/>
          <w:szCs w:val="24"/>
        </w:rPr>
        <w:t>On February 26, 2017, the New York Post reporte</w:t>
      </w:r>
      <w:r>
        <w:rPr>
          <w:rFonts w:ascii="Times New Roman" w:hAnsi="Times New Roman"/>
          <w:sz w:val="24"/>
          <w:szCs w:val="24"/>
        </w:rPr>
        <w:t>d that there were</w:t>
      </w:r>
      <w:r w:rsidR="00FE10BF">
        <w:rPr>
          <w:rFonts w:ascii="Times New Roman" w:hAnsi="Times New Roman"/>
          <w:sz w:val="24"/>
          <w:szCs w:val="24"/>
        </w:rPr>
        <w:t xml:space="preserve"> approximately 30,</w:t>
      </w:r>
      <w:r w:rsidR="00E145EE">
        <w:rPr>
          <w:rFonts w:ascii="Times New Roman" w:hAnsi="Times New Roman"/>
          <w:sz w:val="24"/>
          <w:szCs w:val="24"/>
        </w:rPr>
        <w:t>0</w:t>
      </w:r>
      <w:r w:rsidR="00FE10BF">
        <w:rPr>
          <w:rFonts w:ascii="Times New Roman" w:hAnsi="Times New Roman"/>
          <w:sz w:val="24"/>
          <w:szCs w:val="24"/>
        </w:rPr>
        <w:t>00</w:t>
      </w:r>
      <w:r>
        <w:rPr>
          <w:rFonts w:ascii="Times New Roman" w:hAnsi="Times New Roman"/>
          <w:sz w:val="24"/>
          <w:szCs w:val="24"/>
        </w:rPr>
        <w:t xml:space="preserve"> HDFC </w:t>
      </w:r>
      <w:r w:rsidR="00FE10BF">
        <w:rPr>
          <w:rFonts w:ascii="Times New Roman" w:hAnsi="Times New Roman"/>
          <w:sz w:val="24"/>
          <w:szCs w:val="24"/>
        </w:rPr>
        <w:t>units in 1,200</w:t>
      </w:r>
      <w:r w:rsidRPr="00952C70">
        <w:rPr>
          <w:rFonts w:ascii="Times New Roman" w:hAnsi="Times New Roman"/>
          <w:sz w:val="24"/>
          <w:szCs w:val="24"/>
        </w:rPr>
        <w:t xml:space="preserve"> buildings across New York City.</w:t>
      </w:r>
      <w:r w:rsidRPr="00952C70">
        <w:rPr>
          <w:rFonts w:ascii="Times New Roman" w:hAnsi="Times New Roman"/>
          <w:sz w:val="24"/>
          <w:szCs w:val="24"/>
          <w:vertAlign w:val="superscript"/>
        </w:rPr>
        <w:footnoteReference w:id="51"/>
      </w:r>
    </w:p>
    <w:p w:rsidR="00F02239" w:rsidRDefault="007A6468" w:rsidP="00CB3F8F">
      <w:pPr>
        <w:spacing w:after="0" w:line="480" w:lineRule="auto"/>
        <w:ind w:firstLine="720"/>
        <w:jc w:val="both"/>
        <w:rPr>
          <w:rFonts w:ascii="Times New Roman" w:hAnsi="Times New Roman"/>
          <w:sz w:val="24"/>
          <w:szCs w:val="24"/>
        </w:rPr>
      </w:pPr>
      <w:r w:rsidRPr="002113C7">
        <w:rPr>
          <w:rFonts w:ascii="Times New Roman" w:hAnsi="Times New Roman"/>
          <w:sz w:val="24"/>
        </w:rPr>
        <w:t>The current New York City tax lien sale process specifically exempts HDFCs</w:t>
      </w:r>
      <w:r>
        <w:rPr>
          <w:rFonts w:ascii="Times New Roman" w:hAnsi="Times New Roman"/>
          <w:sz w:val="24"/>
        </w:rPr>
        <w:t>,</w:t>
      </w:r>
      <w:r w:rsidRPr="002113C7">
        <w:rPr>
          <w:rFonts w:ascii="Times New Roman" w:hAnsi="Times New Roman"/>
          <w:sz w:val="24"/>
          <w:vertAlign w:val="superscript"/>
        </w:rPr>
        <w:footnoteReference w:id="52"/>
      </w:r>
      <w:r>
        <w:rPr>
          <w:rFonts w:ascii="Times New Roman" w:hAnsi="Times New Roman"/>
          <w:sz w:val="24"/>
        </w:rPr>
        <w:t xml:space="preserve"> and HPD has acknowledged that the</w:t>
      </w:r>
      <w:r w:rsidRPr="002113C7">
        <w:rPr>
          <w:rFonts w:ascii="Times New Roman" w:hAnsi="Times New Roman"/>
          <w:sz w:val="24"/>
        </w:rPr>
        <w:t xml:space="preserve"> only </w:t>
      </w:r>
      <w:r>
        <w:rPr>
          <w:rFonts w:ascii="Times New Roman" w:hAnsi="Times New Roman"/>
          <w:sz w:val="24"/>
        </w:rPr>
        <w:t xml:space="preserve">enforcement </w:t>
      </w:r>
      <w:r w:rsidRPr="002113C7">
        <w:rPr>
          <w:rFonts w:ascii="Times New Roman" w:hAnsi="Times New Roman"/>
          <w:sz w:val="24"/>
        </w:rPr>
        <w:t xml:space="preserve">option available to the City </w:t>
      </w:r>
      <w:r>
        <w:rPr>
          <w:rFonts w:ascii="Times New Roman" w:hAnsi="Times New Roman"/>
          <w:sz w:val="24"/>
        </w:rPr>
        <w:t xml:space="preserve">with respect to </w:t>
      </w:r>
      <w:r w:rsidRPr="002113C7">
        <w:rPr>
          <w:rFonts w:ascii="Times New Roman" w:hAnsi="Times New Roman"/>
          <w:sz w:val="24"/>
        </w:rPr>
        <w:t xml:space="preserve">HDFCs </w:t>
      </w:r>
      <w:r>
        <w:rPr>
          <w:rFonts w:ascii="Times New Roman" w:hAnsi="Times New Roman"/>
          <w:sz w:val="24"/>
        </w:rPr>
        <w:t xml:space="preserve">with outstanding arrears </w:t>
      </w:r>
      <w:r w:rsidRPr="002113C7">
        <w:rPr>
          <w:rFonts w:ascii="Times New Roman" w:hAnsi="Times New Roman"/>
          <w:sz w:val="24"/>
        </w:rPr>
        <w:t>is to put the buildings through the TPT process.</w:t>
      </w:r>
      <w:r>
        <w:rPr>
          <w:rStyle w:val="FootnoteReference"/>
          <w:rFonts w:ascii="Times New Roman" w:hAnsi="Times New Roman"/>
          <w:sz w:val="24"/>
          <w:szCs w:val="24"/>
        </w:rPr>
        <w:footnoteReference w:id="53"/>
      </w:r>
      <w:r>
        <w:rPr>
          <w:rFonts w:ascii="Times New Roman" w:hAnsi="Times New Roman"/>
          <w:sz w:val="24"/>
        </w:rPr>
        <w:t xml:space="preserve"> </w:t>
      </w:r>
      <w:r w:rsidR="002F3C35" w:rsidRPr="00B53A96">
        <w:rPr>
          <w:rFonts w:ascii="Times New Roman" w:eastAsia="Times New Roman" w:hAnsi="Times New Roman"/>
          <w:color w:val="212121"/>
          <w:sz w:val="24"/>
          <w:szCs w:val="24"/>
        </w:rPr>
        <w:t xml:space="preserve">HDFCs comprised </w:t>
      </w:r>
      <w:r w:rsidR="00857ADC" w:rsidRPr="00B53A96">
        <w:rPr>
          <w:rFonts w:ascii="Times New Roman" w:hAnsi="Times New Roman"/>
          <w:sz w:val="24"/>
          <w:szCs w:val="24"/>
        </w:rPr>
        <w:t xml:space="preserve">118 </w:t>
      </w:r>
      <w:r w:rsidR="002F3C35" w:rsidRPr="00B53A96">
        <w:rPr>
          <w:rFonts w:ascii="Times New Roman" w:hAnsi="Times New Roman"/>
          <w:sz w:val="24"/>
          <w:szCs w:val="24"/>
        </w:rPr>
        <w:t xml:space="preserve">of the </w:t>
      </w:r>
      <w:r w:rsidR="00857ADC" w:rsidRPr="00B53A96">
        <w:rPr>
          <w:rFonts w:ascii="Times New Roman" w:hAnsi="Times New Roman"/>
          <w:sz w:val="24"/>
          <w:szCs w:val="24"/>
        </w:rPr>
        <w:t>pro</w:t>
      </w:r>
      <w:r w:rsidR="002F3C35" w:rsidRPr="00B53A96">
        <w:rPr>
          <w:rFonts w:ascii="Times New Roman" w:hAnsi="Times New Roman"/>
          <w:sz w:val="24"/>
          <w:szCs w:val="24"/>
        </w:rPr>
        <w:t>perties that the City selected for Round X</w:t>
      </w:r>
      <w:r w:rsidR="0097037A">
        <w:rPr>
          <w:rFonts w:ascii="Times New Roman" w:hAnsi="Times New Roman"/>
          <w:sz w:val="24"/>
          <w:szCs w:val="24"/>
        </w:rPr>
        <w:t xml:space="preserve"> and 27</w:t>
      </w:r>
      <w:r w:rsidR="00C74361">
        <w:rPr>
          <w:rFonts w:ascii="Times New Roman" w:hAnsi="Times New Roman"/>
          <w:sz w:val="24"/>
          <w:szCs w:val="24"/>
        </w:rPr>
        <w:t xml:space="preserve"> of </w:t>
      </w:r>
      <w:r w:rsidR="00720539">
        <w:rPr>
          <w:rFonts w:ascii="Times New Roman" w:hAnsi="Times New Roman"/>
          <w:sz w:val="24"/>
          <w:szCs w:val="24"/>
        </w:rPr>
        <w:t xml:space="preserve">the 65 </w:t>
      </w:r>
      <w:r w:rsidR="00C74361">
        <w:rPr>
          <w:rFonts w:ascii="Times New Roman" w:hAnsi="Times New Roman"/>
          <w:sz w:val="24"/>
          <w:szCs w:val="24"/>
        </w:rPr>
        <w:t>properties that were foreclos</w:t>
      </w:r>
      <w:r w:rsidR="00AF47B6">
        <w:rPr>
          <w:rFonts w:ascii="Times New Roman" w:hAnsi="Times New Roman"/>
          <w:sz w:val="24"/>
          <w:szCs w:val="24"/>
        </w:rPr>
        <w:t xml:space="preserve">ed </w:t>
      </w:r>
      <w:r w:rsidR="00CC61B7">
        <w:rPr>
          <w:rFonts w:ascii="Times New Roman" w:hAnsi="Times New Roman"/>
          <w:sz w:val="24"/>
          <w:szCs w:val="24"/>
        </w:rPr>
        <w:t>upon</w:t>
      </w:r>
      <w:r w:rsidR="00857ADC" w:rsidRPr="00B53A96">
        <w:rPr>
          <w:rFonts w:ascii="Times New Roman" w:hAnsi="Times New Roman"/>
          <w:sz w:val="24"/>
          <w:szCs w:val="24"/>
        </w:rPr>
        <w:t>.</w:t>
      </w:r>
      <w:r w:rsidR="00B53A96" w:rsidRPr="00B53A96">
        <w:rPr>
          <w:rFonts w:ascii="Times New Roman" w:hAnsi="Times New Roman"/>
          <w:sz w:val="24"/>
          <w:szCs w:val="24"/>
        </w:rPr>
        <w:t xml:space="preserve"> </w:t>
      </w:r>
      <w:r w:rsidR="00952C70" w:rsidRPr="00952C70">
        <w:rPr>
          <w:rFonts w:ascii="Times New Roman" w:hAnsi="Times New Roman"/>
          <w:sz w:val="24"/>
          <w:szCs w:val="24"/>
        </w:rPr>
        <w:t xml:space="preserve">The </w:t>
      </w:r>
      <w:r w:rsidR="00720539">
        <w:rPr>
          <w:rFonts w:ascii="Times New Roman" w:hAnsi="Times New Roman"/>
          <w:sz w:val="24"/>
          <w:szCs w:val="24"/>
        </w:rPr>
        <w:t>practical implication of an HDFC</w:t>
      </w:r>
      <w:r w:rsidR="00CB3F8F">
        <w:rPr>
          <w:rFonts w:ascii="Times New Roman" w:hAnsi="Times New Roman"/>
          <w:sz w:val="24"/>
          <w:szCs w:val="24"/>
        </w:rPr>
        <w:t>’s inclusion in TPT is that the HDFC</w:t>
      </w:r>
      <w:r w:rsidR="00720539">
        <w:rPr>
          <w:rFonts w:ascii="Times New Roman" w:hAnsi="Times New Roman"/>
          <w:sz w:val="24"/>
          <w:szCs w:val="24"/>
        </w:rPr>
        <w:t xml:space="preserve"> </w:t>
      </w:r>
      <w:r w:rsidR="008E3118">
        <w:rPr>
          <w:rFonts w:ascii="Times New Roman" w:hAnsi="Times New Roman"/>
          <w:sz w:val="24"/>
          <w:szCs w:val="24"/>
        </w:rPr>
        <w:t>convert</w:t>
      </w:r>
      <w:r w:rsidR="00720539">
        <w:rPr>
          <w:rFonts w:ascii="Times New Roman" w:hAnsi="Times New Roman"/>
          <w:sz w:val="24"/>
          <w:szCs w:val="24"/>
        </w:rPr>
        <w:t>s</w:t>
      </w:r>
      <w:r w:rsidR="008E3118">
        <w:rPr>
          <w:rFonts w:ascii="Times New Roman" w:hAnsi="Times New Roman"/>
          <w:sz w:val="24"/>
          <w:szCs w:val="24"/>
        </w:rPr>
        <w:t xml:space="preserve"> </w:t>
      </w:r>
      <w:r w:rsidR="004110BD">
        <w:rPr>
          <w:rFonts w:ascii="Times New Roman" w:hAnsi="Times New Roman"/>
          <w:sz w:val="24"/>
          <w:szCs w:val="24"/>
        </w:rPr>
        <w:t xml:space="preserve">from </w:t>
      </w:r>
      <w:r w:rsidR="00720539">
        <w:rPr>
          <w:rFonts w:ascii="Times New Roman" w:hAnsi="Times New Roman"/>
          <w:sz w:val="24"/>
          <w:szCs w:val="24"/>
        </w:rPr>
        <w:t xml:space="preserve">a </w:t>
      </w:r>
      <w:r w:rsidR="008E3118">
        <w:rPr>
          <w:rFonts w:ascii="Times New Roman" w:hAnsi="Times New Roman"/>
          <w:sz w:val="24"/>
          <w:szCs w:val="24"/>
        </w:rPr>
        <w:t xml:space="preserve">cooperative to </w:t>
      </w:r>
      <w:r w:rsidR="00720539">
        <w:rPr>
          <w:rFonts w:ascii="Times New Roman" w:hAnsi="Times New Roman"/>
          <w:sz w:val="24"/>
          <w:szCs w:val="24"/>
        </w:rPr>
        <w:t xml:space="preserve">a </w:t>
      </w:r>
      <w:r w:rsidR="0040593B">
        <w:rPr>
          <w:rFonts w:ascii="Times New Roman" w:hAnsi="Times New Roman"/>
          <w:sz w:val="24"/>
          <w:szCs w:val="24"/>
        </w:rPr>
        <w:t>rental building post-transfer</w:t>
      </w:r>
      <w:r w:rsidR="00B82E09">
        <w:rPr>
          <w:rFonts w:ascii="Times New Roman" w:hAnsi="Times New Roman"/>
          <w:sz w:val="24"/>
          <w:szCs w:val="24"/>
        </w:rPr>
        <w:t>.</w:t>
      </w:r>
      <w:r w:rsidR="00D25529">
        <w:rPr>
          <w:rFonts w:ascii="Times New Roman" w:hAnsi="Times New Roman"/>
          <w:sz w:val="24"/>
          <w:szCs w:val="24"/>
        </w:rPr>
        <w:t xml:space="preserve"> </w:t>
      </w:r>
      <w:r w:rsidR="000C1056">
        <w:rPr>
          <w:rFonts w:ascii="Times New Roman" w:hAnsi="Times New Roman"/>
          <w:sz w:val="24"/>
          <w:szCs w:val="24"/>
        </w:rPr>
        <w:t>This meant</w:t>
      </w:r>
      <w:r w:rsidR="00B82E09">
        <w:rPr>
          <w:rFonts w:ascii="Times New Roman" w:hAnsi="Times New Roman"/>
          <w:sz w:val="24"/>
          <w:szCs w:val="24"/>
        </w:rPr>
        <w:t xml:space="preserve"> that </w:t>
      </w:r>
      <w:r w:rsidR="000C1056">
        <w:rPr>
          <w:rFonts w:ascii="Times New Roman" w:hAnsi="Times New Roman"/>
          <w:sz w:val="24"/>
          <w:szCs w:val="24"/>
        </w:rPr>
        <w:t xml:space="preserve">the </w:t>
      </w:r>
      <w:r w:rsidR="00952C70" w:rsidRPr="00952C70">
        <w:rPr>
          <w:rFonts w:ascii="Times New Roman" w:hAnsi="Times New Roman"/>
          <w:sz w:val="24"/>
          <w:szCs w:val="24"/>
        </w:rPr>
        <w:t xml:space="preserve">economically vulnerable New Yorkers </w:t>
      </w:r>
      <w:r w:rsidR="000C1056">
        <w:rPr>
          <w:rFonts w:ascii="Times New Roman" w:hAnsi="Times New Roman"/>
          <w:sz w:val="24"/>
          <w:szCs w:val="24"/>
        </w:rPr>
        <w:t>who were</w:t>
      </w:r>
      <w:r w:rsidR="004110BD">
        <w:rPr>
          <w:rFonts w:ascii="Times New Roman" w:hAnsi="Times New Roman"/>
          <w:sz w:val="24"/>
          <w:szCs w:val="24"/>
        </w:rPr>
        <w:t xml:space="preserve"> </w:t>
      </w:r>
      <w:r w:rsidR="00FD71E7">
        <w:rPr>
          <w:rFonts w:ascii="Times New Roman" w:hAnsi="Times New Roman"/>
          <w:sz w:val="24"/>
          <w:szCs w:val="24"/>
        </w:rPr>
        <w:t xml:space="preserve">shareholders in </w:t>
      </w:r>
      <w:r w:rsidR="000C1056">
        <w:rPr>
          <w:rFonts w:ascii="Times New Roman" w:hAnsi="Times New Roman"/>
          <w:sz w:val="24"/>
          <w:szCs w:val="24"/>
        </w:rPr>
        <w:t xml:space="preserve">such </w:t>
      </w:r>
      <w:r w:rsidR="00FD71E7">
        <w:rPr>
          <w:rFonts w:ascii="Times New Roman" w:hAnsi="Times New Roman"/>
          <w:sz w:val="24"/>
          <w:szCs w:val="24"/>
        </w:rPr>
        <w:t>properties</w:t>
      </w:r>
      <w:r w:rsidR="00CB3F8F">
        <w:rPr>
          <w:rFonts w:ascii="Times New Roman" w:hAnsi="Times New Roman"/>
          <w:sz w:val="24"/>
          <w:szCs w:val="24"/>
        </w:rPr>
        <w:t>—</w:t>
      </w:r>
      <w:r w:rsidR="00014B7B">
        <w:rPr>
          <w:rFonts w:ascii="Times New Roman" w:hAnsi="Times New Roman"/>
          <w:sz w:val="24"/>
          <w:szCs w:val="24"/>
        </w:rPr>
        <w:t xml:space="preserve">and </w:t>
      </w:r>
      <w:r w:rsidR="00A6518F">
        <w:rPr>
          <w:rFonts w:ascii="Times New Roman" w:hAnsi="Times New Roman"/>
          <w:sz w:val="24"/>
          <w:szCs w:val="24"/>
        </w:rPr>
        <w:t>may have</w:t>
      </w:r>
      <w:r w:rsidR="00014B7B">
        <w:rPr>
          <w:rFonts w:ascii="Times New Roman" w:hAnsi="Times New Roman"/>
          <w:sz w:val="24"/>
          <w:szCs w:val="24"/>
        </w:rPr>
        <w:t xml:space="preserve"> spent years rehabilitating and maintaining such properties when the City no longer wished to do so</w:t>
      </w:r>
      <w:r w:rsidR="00CB3F8F">
        <w:rPr>
          <w:rFonts w:ascii="Times New Roman" w:hAnsi="Times New Roman"/>
          <w:sz w:val="24"/>
          <w:szCs w:val="24"/>
        </w:rPr>
        <w:t>—</w:t>
      </w:r>
      <w:r w:rsidR="00F63BAE">
        <w:rPr>
          <w:rFonts w:ascii="Times New Roman" w:hAnsi="Times New Roman"/>
          <w:sz w:val="24"/>
          <w:szCs w:val="24"/>
        </w:rPr>
        <w:t>st</w:t>
      </w:r>
      <w:r w:rsidR="000C1056">
        <w:rPr>
          <w:rFonts w:ascii="Times New Roman" w:hAnsi="Times New Roman"/>
          <w:sz w:val="24"/>
          <w:szCs w:val="24"/>
        </w:rPr>
        <w:t>ood</w:t>
      </w:r>
      <w:r w:rsidR="005A6281">
        <w:rPr>
          <w:rFonts w:ascii="Times New Roman" w:hAnsi="Times New Roman"/>
          <w:sz w:val="24"/>
          <w:szCs w:val="24"/>
        </w:rPr>
        <w:t xml:space="preserve"> </w:t>
      </w:r>
      <w:r w:rsidR="00F63BAE">
        <w:rPr>
          <w:rFonts w:ascii="Times New Roman" w:hAnsi="Times New Roman"/>
          <w:sz w:val="24"/>
          <w:szCs w:val="24"/>
        </w:rPr>
        <w:t xml:space="preserve">to </w:t>
      </w:r>
      <w:r w:rsidR="00952C70" w:rsidRPr="00952C70">
        <w:rPr>
          <w:rFonts w:ascii="Times New Roman" w:hAnsi="Times New Roman"/>
          <w:sz w:val="24"/>
          <w:szCs w:val="24"/>
        </w:rPr>
        <w:t xml:space="preserve">lose </w:t>
      </w:r>
      <w:r w:rsidR="00824E11">
        <w:rPr>
          <w:rFonts w:ascii="Times New Roman" w:hAnsi="Times New Roman"/>
          <w:sz w:val="24"/>
          <w:szCs w:val="24"/>
        </w:rPr>
        <w:t>ownership of</w:t>
      </w:r>
      <w:r w:rsidR="00952C70" w:rsidRPr="00952C70">
        <w:rPr>
          <w:rFonts w:ascii="Times New Roman" w:hAnsi="Times New Roman"/>
          <w:sz w:val="24"/>
          <w:szCs w:val="24"/>
        </w:rPr>
        <w:t xml:space="preserve"> their units</w:t>
      </w:r>
      <w:r w:rsidR="004110BD">
        <w:rPr>
          <w:rFonts w:ascii="Times New Roman" w:hAnsi="Times New Roman"/>
          <w:sz w:val="24"/>
          <w:szCs w:val="24"/>
        </w:rPr>
        <w:t xml:space="preserve"> as a result of TPT</w:t>
      </w:r>
      <w:r w:rsidR="00014B7B">
        <w:rPr>
          <w:rFonts w:ascii="Times New Roman" w:hAnsi="Times New Roman"/>
          <w:sz w:val="24"/>
          <w:szCs w:val="24"/>
        </w:rPr>
        <w:t>.</w:t>
      </w:r>
      <w:r w:rsidR="000E2D36">
        <w:rPr>
          <w:rFonts w:ascii="Times New Roman" w:hAnsi="Times New Roman"/>
          <w:sz w:val="24"/>
          <w:szCs w:val="24"/>
        </w:rPr>
        <w:t xml:space="preserve"> </w:t>
      </w:r>
      <w:r w:rsidR="00EF4B80">
        <w:rPr>
          <w:rFonts w:ascii="Times New Roman" w:hAnsi="Times New Roman"/>
          <w:sz w:val="24"/>
          <w:szCs w:val="24"/>
        </w:rPr>
        <w:t xml:space="preserve">Figure 2 </w:t>
      </w:r>
      <w:r w:rsidR="00547EF2">
        <w:rPr>
          <w:rFonts w:ascii="Times New Roman" w:hAnsi="Times New Roman"/>
          <w:sz w:val="24"/>
          <w:szCs w:val="24"/>
        </w:rPr>
        <w:t xml:space="preserve">provides a side-by-side comparison of the locations of the </w:t>
      </w:r>
      <w:r w:rsidR="00EF4B80">
        <w:rPr>
          <w:rFonts w:ascii="Times New Roman" w:hAnsi="Times New Roman"/>
          <w:sz w:val="24"/>
          <w:szCs w:val="24"/>
        </w:rPr>
        <w:t>properties selected for TPT</w:t>
      </w:r>
      <w:r w:rsidR="00547EF2">
        <w:rPr>
          <w:rFonts w:ascii="Times New Roman" w:hAnsi="Times New Roman"/>
          <w:sz w:val="24"/>
          <w:szCs w:val="24"/>
        </w:rPr>
        <w:t xml:space="preserve"> (left) with the </w:t>
      </w:r>
      <w:r w:rsidR="00B072A3">
        <w:rPr>
          <w:rFonts w:ascii="Times New Roman" w:hAnsi="Times New Roman"/>
          <w:sz w:val="24"/>
          <w:szCs w:val="24"/>
        </w:rPr>
        <w:t>location</w:t>
      </w:r>
      <w:r w:rsidR="00547EF2">
        <w:rPr>
          <w:rFonts w:ascii="Times New Roman" w:hAnsi="Times New Roman"/>
          <w:sz w:val="24"/>
          <w:szCs w:val="24"/>
        </w:rPr>
        <w:t>s</w:t>
      </w:r>
      <w:r w:rsidR="00B072A3">
        <w:rPr>
          <w:rFonts w:ascii="Times New Roman" w:hAnsi="Times New Roman"/>
          <w:sz w:val="24"/>
          <w:szCs w:val="24"/>
        </w:rPr>
        <w:t xml:space="preserve"> of all </w:t>
      </w:r>
      <w:r w:rsidR="00EF4B80">
        <w:rPr>
          <w:rFonts w:ascii="Times New Roman" w:hAnsi="Times New Roman"/>
          <w:sz w:val="24"/>
          <w:szCs w:val="24"/>
        </w:rPr>
        <w:t>HDFCs in New York City</w:t>
      </w:r>
      <w:r w:rsidR="00547EF2">
        <w:rPr>
          <w:rFonts w:ascii="Times New Roman" w:hAnsi="Times New Roman"/>
          <w:sz w:val="24"/>
          <w:szCs w:val="24"/>
        </w:rPr>
        <w:t xml:space="preserve"> (right)</w:t>
      </w:r>
      <w:r w:rsidR="00EF4B80">
        <w:rPr>
          <w:rFonts w:ascii="Times New Roman" w:hAnsi="Times New Roman"/>
          <w:sz w:val="24"/>
          <w:szCs w:val="24"/>
        </w:rPr>
        <w:t>.</w:t>
      </w:r>
    </w:p>
    <w:p w:rsidR="00EC3C34" w:rsidRDefault="00EC3C34" w:rsidP="00AE2DA0">
      <w:pPr>
        <w:keepNext/>
        <w:spacing w:after="0" w:line="240" w:lineRule="auto"/>
        <w:jc w:val="center"/>
      </w:pPr>
      <w:r>
        <w:rPr>
          <w:rFonts w:ascii="Times New Roman" w:hAnsi="Times New Roman"/>
          <w:noProof/>
          <w:sz w:val="24"/>
          <w:szCs w:val="24"/>
        </w:rPr>
        <w:drawing>
          <wp:inline distT="0" distB="0" distL="0" distR="0" wp14:anchorId="326CA52E" wp14:editId="3DB61569">
            <wp:extent cx="5628694" cy="430165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TPT vs All HDFC.PNG"/>
                    <pic:cNvPicPr/>
                  </pic:nvPicPr>
                  <pic:blipFill>
                    <a:blip r:embed="rId10">
                      <a:extLst>
                        <a:ext uri="{28A0092B-C50C-407E-A947-70E740481C1C}">
                          <a14:useLocalDpi xmlns:a14="http://schemas.microsoft.com/office/drawing/2010/main" val="0"/>
                        </a:ext>
                      </a:extLst>
                    </a:blip>
                    <a:stretch>
                      <a:fillRect/>
                    </a:stretch>
                  </pic:blipFill>
                  <pic:spPr>
                    <a:xfrm>
                      <a:off x="0" y="0"/>
                      <a:ext cx="5677868" cy="4339236"/>
                    </a:xfrm>
                    <a:prstGeom prst="rect">
                      <a:avLst/>
                    </a:prstGeom>
                  </pic:spPr>
                </pic:pic>
              </a:graphicData>
            </a:graphic>
          </wp:inline>
        </w:drawing>
      </w:r>
    </w:p>
    <w:p w:rsidR="00EC3C34" w:rsidRPr="00163E98" w:rsidRDefault="00EC3C34" w:rsidP="00AE2DA0">
      <w:pPr>
        <w:pStyle w:val="Caption"/>
        <w:jc w:val="center"/>
        <w:rPr>
          <w:rFonts w:ascii="Times New Roman" w:hAnsi="Times New Roman"/>
          <w:sz w:val="24"/>
          <w:szCs w:val="24"/>
        </w:rPr>
      </w:pPr>
      <w:r w:rsidRPr="00AE2DA0">
        <w:rPr>
          <w:rFonts w:ascii="Times New Roman" w:hAnsi="Times New Roman"/>
        </w:rPr>
        <w:t xml:space="preserve">Figure </w:t>
      </w:r>
      <w:r w:rsidRPr="00AE2DA0">
        <w:rPr>
          <w:rFonts w:ascii="Times New Roman" w:hAnsi="Times New Roman"/>
        </w:rPr>
        <w:fldChar w:fldCharType="begin"/>
      </w:r>
      <w:r w:rsidRPr="00AE2DA0">
        <w:rPr>
          <w:rFonts w:ascii="Times New Roman" w:hAnsi="Times New Roman"/>
        </w:rPr>
        <w:instrText xml:space="preserve"> SEQ Figure \* ARABIC </w:instrText>
      </w:r>
      <w:r w:rsidRPr="00AE2DA0">
        <w:rPr>
          <w:rFonts w:ascii="Times New Roman" w:hAnsi="Times New Roman"/>
        </w:rPr>
        <w:fldChar w:fldCharType="separate"/>
      </w:r>
      <w:r w:rsidR="00A407AB">
        <w:rPr>
          <w:rFonts w:ascii="Times New Roman" w:hAnsi="Times New Roman"/>
          <w:noProof/>
        </w:rPr>
        <w:t>2</w:t>
      </w:r>
      <w:r w:rsidRPr="00AE2DA0">
        <w:rPr>
          <w:rFonts w:ascii="Times New Roman" w:hAnsi="Times New Roman"/>
        </w:rPr>
        <w:fldChar w:fldCharType="end"/>
      </w:r>
      <w:r w:rsidRPr="00AE2DA0">
        <w:rPr>
          <w:rFonts w:ascii="Times New Roman" w:hAnsi="Times New Roman"/>
        </w:rPr>
        <w:t>. TPT Round X Selected Properties vs. All HDFC Cooperatives in NYC</w:t>
      </w:r>
    </w:p>
    <w:p w:rsidR="001D07EE" w:rsidRDefault="0077001E" w:rsidP="00CB3F8F">
      <w:pPr>
        <w:spacing w:after="0" w:line="480" w:lineRule="auto"/>
        <w:ind w:firstLine="720"/>
        <w:jc w:val="both"/>
        <w:rPr>
          <w:rFonts w:ascii="Times New Roman" w:hAnsi="Times New Roman"/>
          <w:sz w:val="24"/>
          <w:szCs w:val="24"/>
        </w:rPr>
      </w:pPr>
      <w:r>
        <w:rPr>
          <w:rFonts w:ascii="Times New Roman" w:hAnsi="Times New Roman"/>
          <w:sz w:val="24"/>
          <w:szCs w:val="24"/>
        </w:rPr>
        <w:t>While t</w:t>
      </w:r>
      <w:r w:rsidR="002511F3">
        <w:rPr>
          <w:rFonts w:ascii="Times New Roman" w:hAnsi="Times New Roman"/>
          <w:sz w:val="24"/>
          <w:szCs w:val="24"/>
        </w:rPr>
        <w:t>he vast majority of the HDFCs selected for Round X were</w:t>
      </w:r>
      <w:r w:rsidR="007A6468">
        <w:rPr>
          <w:rFonts w:ascii="Times New Roman" w:hAnsi="Times New Roman"/>
          <w:sz w:val="24"/>
          <w:szCs w:val="24"/>
        </w:rPr>
        <w:t xml:space="preserve"> </w:t>
      </w:r>
      <w:r w:rsidR="002511F3">
        <w:rPr>
          <w:rFonts w:ascii="Times New Roman" w:hAnsi="Times New Roman"/>
          <w:sz w:val="24"/>
          <w:szCs w:val="24"/>
        </w:rPr>
        <w:t>statutorily distressed</w:t>
      </w:r>
      <w:r>
        <w:rPr>
          <w:rFonts w:ascii="Times New Roman" w:hAnsi="Times New Roman"/>
          <w:sz w:val="24"/>
          <w:szCs w:val="24"/>
        </w:rPr>
        <w:t>,</w:t>
      </w:r>
      <w:r w:rsidR="00C6135C">
        <w:rPr>
          <w:rFonts w:ascii="Times New Roman" w:hAnsi="Times New Roman"/>
          <w:sz w:val="24"/>
          <w:szCs w:val="24"/>
        </w:rPr>
        <w:t xml:space="preserve"> </w:t>
      </w:r>
      <w:r>
        <w:rPr>
          <w:rFonts w:ascii="Times New Roman" w:hAnsi="Times New Roman"/>
          <w:sz w:val="24"/>
          <w:szCs w:val="24"/>
        </w:rPr>
        <w:t>i</w:t>
      </w:r>
      <w:r w:rsidR="00235797">
        <w:rPr>
          <w:rFonts w:ascii="Times New Roman" w:hAnsi="Times New Roman"/>
          <w:sz w:val="24"/>
          <w:szCs w:val="24"/>
        </w:rPr>
        <w:t>t is unclear</w:t>
      </w:r>
      <w:r>
        <w:rPr>
          <w:rFonts w:ascii="Times New Roman" w:hAnsi="Times New Roman"/>
          <w:sz w:val="24"/>
          <w:szCs w:val="24"/>
        </w:rPr>
        <w:t xml:space="preserve"> </w:t>
      </w:r>
      <w:r w:rsidR="00235797">
        <w:rPr>
          <w:rFonts w:ascii="Times New Roman" w:hAnsi="Times New Roman"/>
          <w:sz w:val="24"/>
          <w:szCs w:val="24"/>
        </w:rPr>
        <w:t xml:space="preserve">whether the City pursued </w:t>
      </w:r>
      <w:r w:rsidR="00F02239">
        <w:rPr>
          <w:rFonts w:ascii="Times New Roman" w:hAnsi="Times New Roman"/>
          <w:sz w:val="24"/>
          <w:szCs w:val="24"/>
        </w:rPr>
        <w:t xml:space="preserve">other options short of foreclosure </w:t>
      </w:r>
      <w:r w:rsidR="00DC1ACF">
        <w:rPr>
          <w:rFonts w:ascii="Times New Roman" w:hAnsi="Times New Roman"/>
          <w:sz w:val="24"/>
          <w:szCs w:val="24"/>
        </w:rPr>
        <w:t xml:space="preserve">with respect to </w:t>
      </w:r>
      <w:r w:rsidR="00235797">
        <w:rPr>
          <w:rFonts w:ascii="Times New Roman" w:hAnsi="Times New Roman"/>
          <w:sz w:val="24"/>
          <w:szCs w:val="24"/>
        </w:rPr>
        <w:t>HDFCs</w:t>
      </w:r>
      <w:r w:rsidR="00D25529">
        <w:rPr>
          <w:rFonts w:ascii="Times New Roman" w:hAnsi="Times New Roman"/>
          <w:sz w:val="24"/>
          <w:szCs w:val="24"/>
        </w:rPr>
        <w:t>.</w:t>
      </w:r>
      <w:r w:rsidR="001853B3">
        <w:rPr>
          <w:rFonts w:ascii="Times New Roman" w:hAnsi="Times New Roman"/>
          <w:sz w:val="24"/>
          <w:szCs w:val="24"/>
        </w:rPr>
        <w:t xml:space="preserve"> </w:t>
      </w:r>
      <w:r w:rsidR="00235797">
        <w:rPr>
          <w:rFonts w:ascii="Times New Roman" w:hAnsi="Times New Roman"/>
          <w:sz w:val="24"/>
          <w:szCs w:val="24"/>
        </w:rPr>
        <w:t>The City’s approach to rehabilitating HDFCs is of particular importance</w:t>
      </w:r>
      <w:r w:rsidR="007A6468">
        <w:rPr>
          <w:rFonts w:ascii="Times New Roman" w:hAnsi="Times New Roman"/>
          <w:sz w:val="24"/>
          <w:szCs w:val="24"/>
        </w:rPr>
        <w:t>,</w:t>
      </w:r>
      <w:r w:rsidR="00B7548E">
        <w:rPr>
          <w:rFonts w:ascii="Times New Roman" w:hAnsi="Times New Roman"/>
          <w:sz w:val="24"/>
          <w:szCs w:val="24"/>
        </w:rPr>
        <w:t xml:space="preserve"> </w:t>
      </w:r>
      <w:r w:rsidR="00E74843">
        <w:rPr>
          <w:rFonts w:ascii="Times New Roman" w:hAnsi="Times New Roman"/>
          <w:sz w:val="24"/>
          <w:szCs w:val="24"/>
        </w:rPr>
        <w:t xml:space="preserve">as </w:t>
      </w:r>
      <w:r w:rsidR="00831AEB">
        <w:rPr>
          <w:rFonts w:ascii="Times New Roman" w:hAnsi="Times New Roman"/>
          <w:sz w:val="24"/>
          <w:szCs w:val="24"/>
        </w:rPr>
        <w:t xml:space="preserve">HPD has stated that it </w:t>
      </w:r>
      <w:r w:rsidR="00265697">
        <w:rPr>
          <w:rFonts w:ascii="Times New Roman" w:hAnsi="Times New Roman"/>
          <w:sz w:val="24"/>
          <w:szCs w:val="24"/>
        </w:rPr>
        <w:t>“</w:t>
      </w:r>
      <w:r w:rsidR="00831AEB">
        <w:rPr>
          <w:rFonts w:ascii="Times New Roman" w:hAnsi="Times New Roman"/>
          <w:sz w:val="24"/>
          <w:szCs w:val="24"/>
        </w:rPr>
        <w:t>anticipate</w:t>
      </w:r>
      <w:r w:rsidR="00265697">
        <w:rPr>
          <w:rFonts w:ascii="Times New Roman" w:hAnsi="Times New Roman"/>
          <w:sz w:val="24"/>
          <w:szCs w:val="24"/>
        </w:rPr>
        <w:t>[</w:t>
      </w:r>
      <w:r w:rsidR="00831AEB">
        <w:rPr>
          <w:rFonts w:ascii="Times New Roman" w:hAnsi="Times New Roman"/>
          <w:sz w:val="24"/>
          <w:szCs w:val="24"/>
        </w:rPr>
        <w:t>s</w:t>
      </w:r>
      <w:r w:rsidR="00265697">
        <w:rPr>
          <w:rFonts w:ascii="Times New Roman" w:hAnsi="Times New Roman"/>
          <w:sz w:val="24"/>
          <w:szCs w:val="24"/>
        </w:rPr>
        <w:t>]</w:t>
      </w:r>
      <w:r w:rsidR="00831AEB">
        <w:rPr>
          <w:rFonts w:ascii="Times New Roman" w:hAnsi="Times New Roman"/>
          <w:sz w:val="24"/>
          <w:szCs w:val="24"/>
        </w:rPr>
        <w:t xml:space="preserve"> </w:t>
      </w:r>
      <w:r w:rsidR="00265697">
        <w:rPr>
          <w:rFonts w:ascii="Times New Roman" w:hAnsi="Times New Roman"/>
          <w:sz w:val="24"/>
          <w:szCs w:val="24"/>
        </w:rPr>
        <w:t>Round 11 of TPT</w:t>
      </w:r>
      <w:r w:rsidR="00E05500">
        <w:rPr>
          <w:rFonts w:ascii="Times New Roman" w:hAnsi="Times New Roman"/>
          <w:sz w:val="24"/>
          <w:szCs w:val="24"/>
        </w:rPr>
        <w:t xml:space="preserve"> </w:t>
      </w:r>
      <w:r w:rsidR="00831AEB">
        <w:rPr>
          <w:rFonts w:ascii="Times New Roman" w:hAnsi="Times New Roman"/>
          <w:sz w:val="24"/>
          <w:szCs w:val="24"/>
        </w:rPr>
        <w:t>will include even more HDFC</w:t>
      </w:r>
      <w:r w:rsidR="00265697">
        <w:rPr>
          <w:rFonts w:ascii="Times New Roman" w:hAnsi="Times New Roman"/>
          <w:sz w:val="24"/>
          <w:szCs w:val="24"/>
        </w:rPr>
        <w:t xml:space="preserve"> coops</w:t>
      </w:r>
      <w:r w:rsidR="00D25529">
        <w:rPr>
          <w:rFonts w:ascii="Times New Roman" w:hAnsi="Times New Roman"/>
          <w:sz w:val="24"/>
          <w:szCs w:val="24"/>
        </w:rPr>
        <w:t>.</w:t>
      </w:r>
      <w:r w:rsidR="00265697">
        <w:rPr>
          <w:rFonts w:ascii="Times New Roman" w:hAnsi="Times New Roman"/>
          <w:sz w:val="24"/>
          <w:szCs w:val="24"/>
        </w:rPr>
        <w:t>”</w:t>
      </w:r>
      <w:r w:rsidR="00831AEB">
        <w:rPr>
          <w:rStyle w:val="FootnoteReference"/>
          <w:rFonts w:ascii="Times New Roman" w:hAnsi="Times New Roman"/>
          <w:sz w:val="24"/>
          <w:szCs w:val="24"/>
        </w:rPr>
        <w:footnoteReference w:id="54"/>
      </w:r>
      <w:r w:rsidR="00831AEB">
        <w:rPr>
          <w:rFonts w:ascii="Times New Roman" w:hAnsi="Times New Roman"/>
          <w:sz w:val="24"/>
          <w:szCs w:val="24"/>
        </w:rPr>
        <w:t xml:space="preserve">   </w:t>
      </w:r>
    </w:p>
    <w:p w:rsidR="00CF054B" w:rsidRPr="002212CC" w:rsidRDefault="00824E11" w:rsidP="00CF054B">
      <w:pPr>
        <w:autoSpaceDE w:val="0"/>
        <w:autoSpaceDN w:val="0"/>
        <w:adjustRightInd w:val="0"/>
        <w:spacing w:after="0" w:line="480" w:lineRule="auto"/>
        <w:jc w:val="both"/>
        <w:rPr>
          <w:rFonts w:ascii="Times New Roman" w:hAnsi="Times New Roman"/>
          <w:i/>
          <w:sz w:val="24"/>
          <w:szCs w:val="24"/>
        </w:rPr>
      </w:pPr>
      <w:r>
        <w:rPr>
          <w:rFonts w:ascii="Times New Roman" w:hAnsi="Times New Roman"/>
          <w:i/>
          <w:sz w:val="24"/>
          <w:szCs w:val="24"/>
        </w:rPr>
        <w:t xml:space="preserve">Round X </w:t>
      </w:r>
      <w:r w:rsidR="00CF054B" w:rsidRPr="002212CC">
        <w:rPr>
          <w:rFonts w:ascii="Times New Roman" w:hAnsi="Times New Roman"/>
          <w:i/>
          <w:sz w:val="24"/>
          <w:szCs w:val="24"/>
        </w:rPr>
        <w:t>Concentration</w:t>
      </w:r>
      <w:r w:rsidR="00547EF2">
        <w:rPr>
          <w:rFonts w:ascii="Times New Roman" w:hAnsi="Times New Roman"/>
          <w:i/>
          <w:sz w:val="24"/>
          <w:szCs w:val="24"/>
        </w:rPr>
        <w:t xml:space="preserve"> of Properties</w:t>
      </w:r>
      <w:r w:rsidR="00CF054B" w:rsidRPr="002212CC">
        <w:rPr>
          <w:rFonts w:ascii="Times New Roman" w:hAnsi="Times New Roman"/>
          <w:i/>
          <w:sz w:val="24"/>
          <w:szCs w:val="24"/>
        </w:rPr>
        <w:t xml:space="preserve"> </w:t>
      </w:r>
      <w:r w:rsidR="00301797">
        <w:rPr>
          <w:rFonts w:ascii="Times New Roman" w:hAnsi="Times New Roman"/>
          <w:i/>
          <w:sz w:val="24"/>
          <w:szCs w:val="24"/>
        </w:rPr>
        <w:t>i</w:t>
      </w:r>
      <w:r>
        <w:rPr>
          <w:rFonts w:ascii="Times New Roman" w:hAnsi="Times New Roman"/>
          <w:i/>
          <w:sz w:val="24"/>
          <w:szCs w:val="24"/>
        </w:rPr>
        <w:t xml:space="preserve">n Certain </w:t>
      </w:r>
      <w:r w:rsidR="00CF054B" w:rsidRPr="002212CC">
        <w:rPr>
          <w:rFonts w:ascii="Times New Roman" w:hAnsi="Times New Roman"/>
          <w:i/>
          <w:sz w:val="24"/>
          <w:szCs w:val="24"/>
        </w:rPr>
        <w:t>Neighborhoods</w:t>
      </w:r>
    </w:p>
    <w:p w:rsidR="001A6C54" w:rsidRDefault="001A6C54" w:rsidP="002212CC">
      <w:pPr>
        <w:spacing w:after="0" w:line="480" w:lineRule="auto"/>
        <w:ind w:firstLine="720"/>
        <w:contextualSpacing/>
        <w:jc w:val="both"/>
        <w:rPr>
          <w:rFonts w:ascii="Times New Roman" w:hAnsi="Times New Roman"/>
          <w:sz w:val="24"/>
          <w:szCs w:val="24"/>
        </w:rPr>
      </w:pPr>
      <w:r w:rsidRPr="002212CC">
        <w:rPr>
          <w:rFonts w:ascii="Times New Roman" w:hAnsi="Times New Roman"/>
          <w:sz w:val="24"/>
          <w:szCs w:val="24"/>
        </w:rPr>
        <w:t xml:space="preserve">The City selected </w:t>
      </w:r>
      <w:r w:rsidR="00BB1095">
        <w:rPr>
          <w:rFonts w:ascii="Times New Roman" w:hAnsi="Times New Roman"/>
          <w:color w:val="000000" w:themeColor="text1"/>
          <w:sz w:val="24"/>
          <w:szCs w:val="24"/>
        </w:rPr>
        <w:t xml:space="preserve">properties </w:t>
      </w:r>
      <w:r w:rsidRPr="002212CC">
        <w:rPr>
          <w:rFonts w:ascii="Times New Roman" w:hAnsi="Times New Roman"/>
          <w:sz w:val="24"/>
          <w:szCs w:val="24"/>
        </w:rPr>
        <w:t>in every borough other than Staten Isl</w:t>
      </w:r>
      <w:r w:rsidR="00547EF2">
        <w:rPr>
          <w:rFonts w:ascii="Times New Roman" w:hAnsi="Times New Roman"/>
          <w:sz w:val="24"/>
          <w:szCs w:val="24"/>
        </w:rPr>
        <w:t>and for Round X</w:t>
      </w:r>
      <w:r w:rsidR="002212CC">
        <w:rPr>
          <w:rFonts w:ascii="Times New Roman" w:hAnsi="Times New Roman"/>
          <w:sz w:val="24"/>
          <w:szCs w:val="24"/>
        </w:rPr>
        <w:t>.</w:t>
      </w:r>
      <w:r w:rsidR="006D21EB">
        <w:rPr>
          <w:rStyle w:val="FootnoteReference"/>
          <w:rFonts w:ascii="Times New Roman" w:hAnsi="Times New Roman"/>
          <w:sz w:val="24"/>
          <w:szCs w:val="24"/>
        </w:rPr>
        <w:footnoteReference w:id="55"/>
      </w:r>
    </w:p>
    <w:p w:rsidR="00780DA5" w:rsidRDefault="00780DA5" w:rsidP="002212CC">
      <w:pPr>
        <w:spacing w:after="0" w:line="480" w:lineRule="auto"/>
        <w:ind w:firstLine="720"/>
        <w:contextualSpacing/>
        <w:jc w:val="both"/>
        <w:rPr>
          <w:rFonts w:ascii="Times New Roman" w:hAnsi="Times New Roman"/>
          <w:sz w:val="24"/>
          <w:szCs w:val="24"/>
        </w:rPr>
      </w:pPr>
    </w:p>
    <w:p w:rsidR="00BB1095" w:rsidRDefault="00BB1095" w:rsidP="002212CC">
      <w:pPr>
        <w:spacing w:after="0" w:line="480" w:lineRule="auto"/>
        <w:ind w:firstLine="720"/>
        <w:contextualSpacing/>
        <w:jc w:val="both"/>
        <w:rPr>
          <w:rFonts w:ascii="Times New Roman" w:hAnsi="Times New Roman"/>
          <w:sz w:val="24"/>
          <w:szCs w:val="24"/>
        </w:rPr>
      </w:pPr>
    </w:p>
    <w:p w:rsidR="00780DA5" w:rsidRPr="002212CC" w:rsidRDefault="00780DA5" w:rsidP="002212CC">
      <w:pPr>
        <w:spacing w:after="0" w:line="480" w:lineRule="auto"/>
        <w:ind w:firstLine="720"/>
        <w:contextualSpacing/>
        <w:jc w:val="both"/>
        <w:rPr>
          <w:rFonts w:ascii="Times New Roman" w:hAnsi="Times New Roman"/>
          <w:sz w:val="24"/>
          <w:szCs w:val="24"/>
        </w:rPr>
      </w:pPr>
    </w:p>
    <w:tbl>
      <w:tblPr>
        <w:tblStyle w:val="TableGrid"/>
        <w:tblW w:w="0" w:type="auto"/>
        <w:jc w:val="center"/>
        <w:tblLook w:val="04A0" w:firstRow="1" w:lastRow="0" w:firstColumn="1" w:lastColumn="0" w:noHBand="0" w:noVBand="1"/>
      </w:tblPr>
      <w:tblGrid>
        <w:gridCol w:w="1910"/>
        <w:gridCol w:w="2950"/>
      </w:tblGrid>
      <w:tr w:rsidR="001A6C54" w:rsidRPr="002212CC" w:rsidTr="00BB1095">
        <w:trPr>
          <w:jc w:val="center"/>
        </w:trPr>
        <w:tc>
          <w:tcPr>
            <w:tcW w:w="1910" w:type="dxa"/>
            <w:vAlign w:val="center"/>
          </w:tcPr>
          <w:p w:rsidR="001A6C54" w:rsidRPr="00163E98" w:rsidRDefault="001A6C54" w:rsidP="0047261A">
            <w:pPr>
              <w:contextualSpacing/>
              <w:jc w:val="center"/>
              <w:rPr>
                <w:rFonts w:ascii="Times New Roman" w:hAnsi="Times New Roman"/>
                <w:b/>
                <w:sz w:val="20"/>
                <w:szCs w:val="24"/>
              </w:rPr>
            </w:pPr>
            <w:r w:rsidRPr="00163E98">
              <w:rPr>
                <w:rFonts w:ascii="Times New Roman" w:hAnsi="Times New Roman"/>
                <w:b/>
                <w:sz w:val="20"/>
                <w:szCs w:val="24"/>
              </w:rPr>
              <w:t>Borough</w:t>
            </w:r>
          </w:p>
        </w:tc>
        <w:tc>
          <w:tcPr>
            <w:tcW w:w="2950" w:type="dxa"/>
            <w:vAlign w:val="center"/>
          </w:tcPr>
          <w:p w:rsidR="001A6C54" w:rsidRPr="00163E98" w:rsidRDefault="001A6C54" w:rsidP="00BB1095">
            <w:pPr>
              <w:contextualSpacing/>
              <w:jc w:val="center"/>
              <w:rPr>
                <w:rFonts w:ascii="Times New Roman" w:hAnsi="Times New Roman"/>
                <w:b/>
                <w:sz w:val="20"/>
                <w:szCs w:val="24"/>
              </w:rPr>
            </w:pPr>
            <w:r w:rsidRPr="00163E98">
              <w:rPr>
                <w:rFonts w:ascii="Times New Roman" w:hAnsi="Times New Roman"/>
                <w:b/>
                <w:sz w:val="20"/>
                <w:szCs w:val="24"/>
              </w:rPr>
              <w:t>Number of Properties Selected</w:t>
            </w:r>
          </w:p>
        </w:tc>
      </w:tr>
      <w:tr w:rsidR="001A6C54" w:rsidRPr="002212CC" w:rsidTr="00BB1095">
        <w:trPr>
          <w:jc w:val="center"/>
        </w:trPr>
        <w:tc>
          <w:tcPr>
            <w:tcW w:w="1910" w:type="dxa"/>
            <w:vAlign w:val="center"/>
          </w:tcPr>
          <w:p w:rsidR="001A6C54" w:rsidRPr="00163E98" w:rsidRDefault="001A6C54" w:rsidP="0047261A">
            <w:pPr>
              <w:contextualSpacing/>
              <w:rPr>
                <w:rFonts w:ascii="Times New Roman" w:hAnsi="Times New Roman"/>
                <w:sz w:val="20"/>
                <w:szCs w:val="24"/>
              </w:rPr>
            </w:pPr>
            <w:r w:rsidRPr="00163E98">
              <w:rPr>
                <w:rFonts w:ascii="Times New Roman" w:hAnsi="Times New Roman"/>
                <w:sz w:val="20"/>
                <w:szCs w:val="24"/>
              </w:rPr>
              <w:t>Bronx</w:t>
            </w:r>
          </w:p>
        </w:tc>
        <w:tc>
          <w:tcPr>
            <w:tcW w:w="2950" w:type="dxa"/>
            <w:vAlign w:val="center"/>
          </w:tcPr>
          <w:p w:rsidR="001A6C54" w:rsidRPr="00163E98" w:rsidRDefault="001A6C54" w:rsidP="00BB1095">
            <w:pPr>
              <w:contextualSpacing/>
              <w:jc w:val="center"/>
              <w:rPr>
                <w:rFonts w:ascii="Times New Roman" w:hAnsi="Times New Roman"/>
                <w:color w:val="000000"/>
                <w:sz w:val="20"/>
              </w:rPr>
            </w:pPr>
            <w:r w:rsidRPr="00163E98">
              <w:rPr>
                <w:rFonts w:ascii="Times New Roman" w:hAnsi="Times New Roman"/>
                <w:color w:val="000000"/>
                <w:sz w:val="20"/>
              </w:rPr>
              <w:t>132</w:t>
            </w:r>
          </w:p>
        </w:tc>
      </w:tr>
      <w:tr w:rsidR="001A6C54" w:rsidRPr="002212CC" w:rsidTr="00BB1095">
        <w:trPr>
          <w:jc w:val="center"/>
        </w:trPr>
        <w:tc>
          <w:tcPr>
            <w:tcW w:w="1910" w:type="dxa"/>
            <w:vAlign w:val="center"/>
          </w:tcPr>
          <w:p w:rsidR="001A6C54" w:rsidRPr="00163E98" w:rsidRDefault="001A6C54" w:rsidP="0047261A">
            <w:pPr>
              <w:contextualSpacing/>
              <w:rPr>
                <w:rFonts w:ascii="Times New Roman" w:hAnsi="Times New Roman"/>
                <w:sz w:val="20"/>
                <w:szCs w:val="24"/>
              </w:rPr>
            </w:pPr>
            <w:r w:rsidRPr="00163E98">
              <w:rPr>
                <w:rFonts w:ascii="Times New Roman" w:hAnsi="Times New Roman"/>
                <w:sz w:val="20"/>
                <w:szCs w:val="24"/>
              </w:rPr>
              <w:t>Brooklyn</w:t>
            </w:r>
          </w:p>
        </w:tc>
        <w:tc>
          <w:tcPr>
            <w:tcW w:w="2950" w:type="dxa"/>
            <w:vAlign w:val="center"/>
          </w:tcPr>
          <w:p w:rsidR="001A6C54" w:rsidRPr="00163E98" w:rsidRDefault="001A6C54" w:rsidP="00BB1095">
            <w:pPr>
              <w:contextualSpacing/>
              <w:jc w:val="center"/>
              <w:rPr>
                <w:rFonts w:ascii="Times New Roman" w:hAnsi="Times New Roman"/>
                <w:color w:val="000000"/>
                <w:sz w:val="20"/>
              </w:rPr>
            </w:pPr>
            <w:r w:rsidRPr="00163E98">
              <w:rPr>
                <w:rFonts w:ascii="Times New Roman" w:hAnsi="Times New Roman"/>
                <w:color w:val="000000"/>
                <w:sz w:val="20"/>
              </w:rPr>
              <w:t>192</w:t>
            </w:r>
          </w:p>
        </w:tc>
      </w:tr>
      <w:tr w:rsidR="001A6C54" w:rsidRPr="002212CC" w:rsidTr="00BB1095">
        <w:trPr>
          <w:jc w:val="center"/>
        </w:trPr>
        <w:tc>
          <w:tcPr>
            <w:tcW w:w="1910" w:type="dxa"/>
            <w:vAlign w:val="center"/>
          </w:tcPr>
          <w:p w:rsidR="001A6C54" w:rsidRPr="00163E98" w:rsidRDefault="001A6C54" w:rsidP="0047261A">
            <w:pPr>
              <w:contextualSpacing/>
              <w:rPr>
                <w:rFonts w:ascii="Times New Roman" w:hAnsi="Times New Roman"/>
                <w:sz w:val="20"/>
                <w:szCs w:val="24"/>
              </w:rPr>
            </w:pPr>
            <w:r w:rsidRPr="00163E98">
              <w:rPr>
                <w:rFonts w:ascii="Times New Roman" w:hAnsi="Times New Roman"/>
                <w:sz w:val="20"/>
                <w:szCs w:val="24"/>
              </w:rPr>
              <w:t>Manhattan</w:t>
            </w:r>
          </w:p>
        </w:tc>
        <w:tc>
          <w:tcPr>
            <w:tcW w:w="2950" w:type="dxa"/>
            <w:vAlign w:val="center"/>
          </w:tcPr>
          <w:p w:rsidR="001A6C54" w:rsidRPr="00163E98" w:rsidRDefault="001A6C54" w:rsidP="00BB1095">
            <w:pPr>
              <w:contextualSpacing/>
              <w:jc w:val="center"/>
              <w:rPr>
                <w:rFonts w:ascii="Times New Roman" w:hAnsi="Times New Roman"/>
                <w:color w:val="000000"/>
                <w:sz w:val="20"/>
              </w:rPr>
            </w:pPr>
            <w:r w:rsidRPr="00163E98">
              <w:rPr>
                <w:rFonts w:ascii="Times New Roman" w:hAnsi="Times New Roman"/>
                <w:color w:val="000000"/>
                <w:sz w:val="20"/>
              </w:rPr>
              <w:t>86</w:t>
            </w:r>
          </w:p>
        </w:tc>
      </w:tr>
      <w:tr w:rsidR="001A6C54" w:rsidRPr="002212CC" w:rsidTr="00BB1095">
        <w:trPr>
          <w:jc w:val="center"/>
        </w:trPr>
        <w:tc>
          <w:tcPr>
            <w:tcW w:w="1910" w:type="dxa"/>
            <w:vAlign w:val="center"/>
          </w:tcPr>
          <w:p w:rsidR="001A6C54" w:rsidRPr="00163E98" w:rsidRDefault="001A6C54" w:rsidP="0047261A">
            <w:pPr>
              <w:contextualSpacing/>
              <w:rPr>
                <w:rFonts w:ascii="Times New Roman" w:hAnsi="Times New Roman"/>
                <w:sz w:val="20"/>
                <w:szCs w:val="24"/>
              </w:rPr>
            </w:pPr>
            <w:r w:rsidRPr="00163E98">
              <w:rPr>
                <w:rFonts w:ascii="Times New Roman" w:hAnsi="Times New Roman"/>
                <w:sz w:val="20"/>
                <w:szCs w:val="24"/>
              </w:rPr>
              <w:t>Queens</w:t>
            </w:r>
          </w:p>
        </w:tc>
        <w:tc>
          <w:tcPr>
            <w:tcW w:w="2950" w:type="dxa"/>
            <w:vAlign w:val="center"/>
          </w:tcPr>
          <w:p w:rsidR="001A6C54" w:rsidRPr="00163E98" w:rsidRDefault="001A6C54" w:rsidP="00BB1095">
            <w:pPr>
              <w:contextualSpacing/>
              <w:jc w:val="center"/>
              <w:rPr>
                <w:rFonts w:ascii="Times New Roman" w:hAnsi="Times New Roman"/>
                <w:color w:val="000000"/>
                <w:sz w:val="20"/>
              </w:rPr>
            </w:pPr>
            <w:r w:rsidRPr="00163E98">
              <w:rPr>
                <w:rFonts w:ascii="Times New Roman" w:hAnsi="Times New Roman"/>
                <w:color w:val="000000"/>
                <w:sz w:val="20"/>
              </w:rPr>
              <w:t>10</w:t>
            </w:r>
          </w:p>
        </w:tc>
      </w:tr>
      <w:tr w:rsidR="001A6C54" w:rsidRPr="002212CC" w:rsidTr="00BB1095">
        <w:trPr>
          <w:jc w:val="center"/>
        </w:trPr>
        <w:tc>
          <w:tcPr>
            <w:tcW w:w="1910" w:type="dxa"/>
            <w:vAlign w:val="center"/>
          </w:tcPr>
          <w:p w:rsidR="001A6C54" w:rsidRPr="00163E98" w:rsidRDefault="001A6C54" w:rsidP="0047261A">
            <w:pPr>
              <w:contextualSpacing/>
              <w:rPr>
                <w:rFonts w:ascii="Times New Roman" w:hAnsi="Times New Roman"/>
                <w:sz w:val="20"/>
                <w:szCs w:val="24"/>
              </w:rPr>
            </w:pPr>
            <w:r w:rsidRPr="00163E98">
              <w:rPr>
                <w:rFonts w:ascii="Times New Roman" w:hAnsi="Times New Roman"/>
                <w:sz w:val="20"/>
                <w:szCs w:val="24"/>
              </w:rPr>
              <w:t>Staten Island</w:t>
            </w:r>
          </w:p>
        </w:tc>
        <w:tc>
          <w:tcPr>
            <w:tcW w:w="2950" w:type="dxa"/>
            <w:vAlign w:val="center"/>
          </w:tcPr>
          <w:p w:rsidR="001A6C54" w:rsidRPr="00163E98" w:rsidRDefault="001A6C54" w:rsidP="00BB1095">
            <w:pPr>
              <w:contextualSpacing/>
              <w:jc w:val="center"/>
              <w:rPr>
                <w:rFonts w:ascii="Times New Roman" w:hAnsi="Times New Roman"/>
                <w:color w:val="000000"/>
                <w:sz w:val="20"/>
              </w:rPr>
            </w:pPr>
            <w:r w:rsidRPr="00163E98">
              <w:rPr>
                <w:rFonts w:ascii="Times New Roman" w:hAnsi="Times New Roman"/>
                <w:color w:val="000000"/>
                <w:sz w:val="20"/>
              </w:rPr>
              <w:t>-</w:t>
            </w:r>
          </w:p>
        </w:tc>
      </w:tr>
      <w:tr w:rsidR="001A6C54" w:rsidRPr="002212CC" w:rsidTr="00BB1095">
        <w:trPr>
          <w:jc w:val="center"/>
        </w:trPr>
        <w:tc>
          <w:tcPr>
            <w:tcW w:w="1910" w:type="dxa"/>
            <w:vAlign w:val="center"/>
          </w:tcPr>
          <w:p w:rsidR="001A6C54" w:rsidRPr="00163E98" w:rsidRDefault="001A6C54" w:rsidP="0047261A">
            <w:pPr>
              <w:contextualSpacing/>
              <w:jc w:val="right"/>
              <w:rPr>
                <w:rFonts w:ascii="Times New Roman" w:hAnsi="Times New Roman"/>
                <w:b/>
                <w:sz w:val="20"/>
                <w:szCs w:val="24"/>
              </w:rPr>
            </w:pPr>
            <w:r w:rsidRPr="00163E98">
              <w:rPr>
                <w:rFonts w:ascii="Times New Roman" w:hAnsi="Times New Roman"/>
                <w:b/>
                <w:sz w:val="20"/>
                <w:szCs w:val="24"/>
              </w:rPr>
              <w:t>Total</w:t>
            </w:r>
          </w:p>
        </w:tc>
        <w:tc>
          <w:tcPr>
            <w:tcW w:w="2950" w:type="dxa"/>
            <w:vAlign w:val="center"/>
          </w:tcPr>
          <w:p w:rsidR="001A6C54" w:rsidRPr="00163E98" w:rsidRDefault="001A6C54" w:rsidP="00BB1095">
            <w:pPr>
              <w:keepNext/>
              <w:contextualSpacing/>
              <w:jc w:val="center"/>
              <w:rPr>
                <w:rFonts w:ascii="Times New Roman" w:hAnsi="Times New Roman"/>
                <w:b/>
                <w:bCs/>
                <w:color w:val="000000"/>
                <w:sz w:val="20"/>
              </w:rPr>
            </w:pPr>
            <w:r w:rsidRPr="00163E98">
              <w:rPr>
                <w:rFonts w:ascii="Times New Roman" w:hAnsi="Times New Roman"/>
                <w:b/>
                <w:bCs/>
                <w:color w:val="000000"/>
                <w:sz w:val="20"/>
              </w:rPr>
              <w:t>420</w:t>
            </w:r>
          </w:p>
        </w:tc>
      </w:tr>
    </w:tbl>
    <w:p w:rsidR="00D25529" w:rsidRPr="00AE2DA0" w:rsidRDefault="00D25529" w:rsidP="00AE2DA0">
      <w:pPr>
        <w:pStyle w:val="Caption"/>
        <w:jc w:val="center"/>
        <w:rPr>
          <w:rFonts w:ascii="Times New Roman" w:hAnsi="Times New Roman"/>
        </w:rPr>
      </w:pPr>
      <w:r w:rsidRPr="00AE2DA0">
        <w:rPr>
          <w:rFonts w:ascii="Times New Roman" w:hAnsi="Times New Roman"/>
        </w:rPr>
        <w:t xml:space="preserve">Figure </w:t>
      </w:r>
      <w:r w:rsidRPr="00AE2DA0">
        <w:rPr>
          <w:rFonts w:ascii="Times New Roman" w:hAnsi="Times New Roman"/>
        </w:rPr>
        <w:fldChar w:fldCharType="begin"/>
      </w:r>
      <w:r w:rsidRPr="00AE2DA0">
        <w:rPr>
          <w:rFonts w:ascii="Times New Roman" w:hAnsi="Times New Roman"/>
        </w:rPr>
        <w:instrText xml:space="preserve"> SEQ Figure \* ARABIC </w:instrText>
      </w:r>
      <w:r w:rsidRPr="00AE2DA0">
        <w:rPr>
          <w:rFonts w:ascii="Times New Roman" w:hAnsi="Times New Roman"/>
        </w:rPr>
        <w:fldChar w:fldCharType="separate"/>
      </w:r>
      <w:r w:rsidR="00A407AB">
        <w:rPr>
          <w:rFonts w:ascii="Times New Roman" w:hAnsi="Times New Roman"/>
          <w:noProof/>
        </w:rPr>
        <w:t>3</w:t>
      </w:r>
      <w:r w:rsidRPr="00AE2DA0">
        <w:rPr>
          <w:rFonts w:ascii="Times New Roman" w:hAnsi="Times New Roman"/>
        </w:rPr>
        <w:fldChar w:fldCharType="end"/>
      </w:r>
      <w:r w:rsidRPr="00AE2DA0">
        <w:rPr>
          <w:rFonts w:ascii="Times New Roman" w:hAnsi="Times New Roman"/>
        </w:rPr>
        <w:t>. TPT Round X Properties Selected by Borough</w:t>
      </w:r>
    </w:p>
    <w:p w:rsidR="006D21EB" w:rsidRDefault="001A6C54" w:rsidP="00EF4B80">
      <w:pPr>
        <w:spacing w:after="0" w:line="480" w:lineRule="auto"/>
        <w:ind w:firstLine="720"/>
        <w:contextualSpacing/>
        <w:jc w:val="both"/>
        <w:rPr>
          <w:rFonts w:ascii="Times New Roman" w:hAnsi="Times New Roman"/>
          <w:sz w:val="24"/>
          <w:szCs w:val="24"/>
        </w:rPr>
      </w:pPr>
      <w:r>
        <w:rPr>
          <w:rFonts w:ascii="Times New Roman" w:hAnsi="Times New Roman"/>
          <w:color w:val="000000" w:themeColor="text1"/>
          <w:sz w:val="24"/>
          <w:szCs w:val="24"/>
        </w:rPr>
        <w:t>Within the</w:t>
      </w:r>
      <w:r w:rsidR="002F3384">
        <w:rPr>
          <w:rFonts w:ascii="Times New Roman" w:hAnsi="Times New Roman"/>
          <w:color w:val="000000" w:themeColor="text1"/>
          <w:sz w:val="24"/>
          <w:szCs w:val="24"/>
        </w:rPr>
        <w:t>se four</w:t>
      </w:r>
      <w:r>
        <w:rPr>
          <w:rFonts w:ascii="Times New Roman" w:hAnsi="Times New Roman"/>
          <w:color w:val="000000" w:themeColor="text1"/>
          <w:sz w:val="24"/>
          <w:szCs w:val="24"/>
        </w:rPr>
        <w:t xml:space="preserve"> boroughs, there was a large concentration of properties in just 11 neighborhoods.</w:t>
      </w:r>
      <w:r w:rsidR="006D21EB">
        <w:rPr>
          <w:rStyle w:val="FootnoteReference"/>
          <w:rFonts w:ascii="Times New Roman" w:hAnsi="Times New Roman"/>
          <w:color w:val="000000" w:themeColor="text1"/>
          <w:sz w:val="24"/>
          <w:szCs w:val="24"/>
        </w:rPr>
        <w:footnoteReference w:id="56"/>
      </w:r>
      <w:r>
        <w:rPr>
          <w:rFonts w:ascii="Times New Roman" w:hAnsi="Times New Roman"/>
          <w:sz w:val="24"/>
          <w:szCs w:val="24"/>
        </w:rPr>
        <w:t xml:space="preserve"> The properties selected in these 11 neighborhoods accounted for approximately 50% of the total properties selected for Round X (213 out of 420).</w:t>
      </w:r>
      <w:r w:rsidR="006D21EB">
        <w:rPr>
          <w:rStyle w:val="FootnoteReference"/>
          <w:rFonts w:ascii="Times New Roman" w:hAnsi="Times New Roman"/>
          <w:sz w:val="24"/>
          <w:szCs w:val="24"/>
        </w:rPr>
        <w:footnoteReference w:id="57"/>
      </w:r>
    </w:p>
    <w:tbl>
      <w:tblPr>
        <w:tblStyle w:val="TableGrid"/>
        <w:tblW w:w="0" w:type="auto"/>
        <w:jc w:val="center"/>
        <w:tblLook w:val="04A0" w:firstRow="1" w:lastRow="0" w:firstColumn="1" w:lastColumn="0" w:noHBand="0" w:noVBand="1"/>
      </w:tblPr>
      <w:tblGrid>
        <w:gridCol w:w="4335"/>
        <w:gridCol w:w="2950"/>
      </w:tblGrid>
      <w:tr w:rsidR="001A6C54" w:rsidTr="00BB1095">
        <w:trPr>
          <w:jc w:val="center"/>
        </w:trPr>
        <w:tc>
          <w:tcPr>
            <w:tcW w:w="4335" w:type="dxa"/>
            <w:vAlign w:val="center"/>
          </w:tcPr>
          <w:p w:rsidR="001A6C54" w:rsidRPr="00163E98" w:rsidRDefault="001A6C54" w:rsidP="0047261A">
            <w:pPr>
              <w:jc w:val="center"/>
              <w:rPr>
                <w:rFonts w:ascii="Times New Roman" w:hAnsi="Times New Roman"/>
                <w:b/>
                <w:sz w:val="20"/>
                <w:szCs w:val="24"/>
              </w:rPr>
            </w:pPr>
            <w:r w:rsidRPr="00163E98">
              <w:rPr>
                <w:rFonts w:ascii="Times New Roman" w:hAnsi="Times New Roman"/>
                <w:b/>
                <w:sz w:val="20"/>
                <w:szCs w:val="24"/>
              </w:rPr>
              <w:t xml:space="preserve">Neighborhood </w:t>
            </w:r>
          </w:p>
        </w:tc>
        <w:tc>
          <w:tcPr>
            <w:tcW w:w="2950" w:type="dxa"/>
            <w:vAlign w:val="center"/>
          </w:tcPr>
          <w:p w:rsidR="001A6C54" w:rsidRPr="00163E98" w:rsidRDefault="001A6C54" w:rsidP="00BB1095">
            <w:pPr>
              <w:jc w:val="center"/>
              <w:rPr>
                <w:rFonts w:ascii="Times New Roman" w:hAnsi="Times New Roman"/>
                <w:b/>
                <w:sz w:val="20"/>
                <w:szCs w:val="24"/>
              </w:rPr>
            </w:pPr>
            <w:r w:rsidRPr="00163E98">
              <w:rPr>
                <w:rFonts w:ascii="Times New Roman" w:hAnsi="Times New Roman"/>
                <w:b/>
                <w:sz w:val="20"/>
                <w:szCs w:val="24"/>
              </w:rPr>
              <w:t>Number of Properties Selected</w:t>
            </w:r>
          </w:p>
        </w:tc>
      </w:tr>
      <w:tr w:rsidR="001A6C54" w:rsidTr="00BB1095">
        <w:trPr>
          <w:jc w:val="center"/>
        </w:trPr>
        <w:tc>
          <w:tcPr>
            <w:tcW w:w="4335" w:type="dxa"/>
            <w:vAlign w:val="center"/>
          </w:tcPr>
          <w:p w:rsidR="001A6C54" w:rsidRPr="00163E98" w:rsidRDefault="001A6C54" w:rsidP="0047261A">
            <w:pPr>
              <w:rPr>
                <w:rFonts w:ascii="Times New Roman" w:hAnsi="Times New Roman"/>
                <w:sz w:val="20"/>
                <w:szCs w:val="24"/>
              </w:rPr>
            </w:pPr>
            <w:r w:rsidRPr="00163E98">
              <w:rPr>
                <w:rFonts w:ascii="Times New Roman" w:eastAsia="Times New Roman" w:hAnsi="Times New Roman"/>
                <w:color w:val="000000"/>
                <w:sz w:val="20"/>
              </w:rPr>
              <w:t>Mount Hope</w:t>
            </w:r>
            <w:r w:rsidRPr="00163E98">
              <w:rPr>
                <w:rFonts w:ascii="Times New Roman" w:hAnsi="Times New Roman"/>
                <w:sz w:val="20"/>
                <w:szCs w:val="24"/>
              </w:rPr>
              <w:t>, Bronx</w:t>
            </w:r>
          </w:p>
        </w:tc>
        <w:tc>
          <w:tcPr>
            <w:tcW w:w="2950" w:type="dxa"/>
            <w:vAlign w:val="center"/>
          </w:tcPr>
          <w:p w:rsidR="001A6C54" w:rsidRPr="00163E98" w:rsidRDefault="001A6C54" w:rsidP="00BB1095">
            <w:pPr>
              <w:jc w:val="center"/>
              <w:rPr>
                <w:rFonts w:ascii="Times New Roman" w:hAnsi="Times New Roman"/>
                <w:color w:val="000000"/>
                <w:sz w:val="20"/>
              </w:rPr>
            </w:pPr>
            <w:r w:rsidRPr="00163E98">
              <w:rPr>
                <w:rFonts w:ascii="Times New Roman" w:hAnsi="Times New Roman"/>
                <w:color w:val="000000"/>
                <w:sz w:val="20"/>
              </w:rPr>
              <w:t>16</w:t>
            </w:r>
          </w:p>
        </w:tc>
      </w:tr>
      <w:tr w:rsidR="001A6C54" w:rsidTr="00BB1095">
        <w:trPr>
          <w:jc w:val="center"/>
        </w:trPr>
        <w:tc>
          <w:tcPr>
            <w:tcW w:w="4335" w:type="dxa"/>
            <w:vAlign w:val="center"/>
          </w:tcPr>
          <w:p w:rsidR="001A6C54" w:rsidRPr="00163E98" w:rsidRDefault="001A6C54" w:rsidP="0047261A">
            <w:pPr>
              <w:rPr>
                <w:rFonts w:ascii="Times New Roman" w:eastAsia="Times New Roman" w:hAnsi="Times New Roman"/>
                <w:color w:val="000000"/>
                <w:sz w:val="20"/>
              </w:rPr>
            </w:pPr>
            <w:r w:rsidRPr="00163E98">
              <w:rPr>
                <w:rFonts w:ascii="Times New Roman" w:eastAsia="Times New Roman" w:hAnsi="Times New Roman"/>
                <w:color w:val="000000"/>
                <w:sz w:val="20"/>
              </w:rPr>
              <w:t>University Heights-Morris Heights, Bronx</w:t>
            </w:r>
          </w:p>
        </w:tc>
        <w:tc>
          <w:tcPr>
            <w:tcW w:w="2950" w:type="dxa"/>
            <w:vAlign w:val="center"/>
          </w:tcPr>
          <w:p w:rsidR="001A6C54" w:rsidRPr="00163E98" w:rsidRDefault="001A6C54" w:rsidP="00BB1095">
            <w:pPr>
              <w:jc w:val="center"/>
              <w:rPr>
                <w:rFonts w:ascii="Times New Roman" w:hAnsi="Times New Roman"/>
                <w:color w:val="000000"/>
                <w:sz w:val="20"/>
              </w:rPr>
            </w:pPr>
            <w:r w:rsidRPr="00163E98">
              <w:rPr>
                <w:rFonts w:ascii="Times New Roman" w:hAnsi="Times New Roman"/>
                <w:color w:val="000000"/>
                <w:sz w:val="20"/>
              </w:rPr>
              <w:t>16</w:t>
            </w:r>
          </w:p>
        </w:tc>
      </w:tr>
      <w:tr w:rsidR="001A6C54" w:rsidTr="00BB1095">
        <w:trPr>
          <w:jc w:val="center"/>
        </w:trPr>
        <w:tc>
          <w:tcPr>
            <w:tcW w:w="4335" w:type="dxa"/>
            <w:vAlign w:val="center"/>
          </w:tcPr>
          <w:p w:rsidR="001A6C54" w:rsidRPr="00163E98" w:rsidRDefault="001A6C54" w:rsidP="0047261A">
            <w:pPr>
              <w:rPr>
                <w:rFonts w:ascii="Times New Roman" w:hAnsi="Times New Roman"/>
                <w:sz w:val="20"/>
                <w:szCs w:val="24"/>
              </w:rPr>
            </w:pPr>
            <w:r w:rsidRPr="00163E98">
              <w:rPr>
                <w:rFonts w:ascii="Times New Roman" w:hAnsi="Times New Roman"/>
                <w:sz w:val="20"/>
                <w:szCs w:val="24"/>
              </w:rPr>
              <w:t>Bedford, Brooklyn</w:t>
            </w:r>
          </w:p>
        </w:tc>
        <w:tc>
          <w:tcPr>
            <w:tcW w:w="2950" w:type="dxa"/>
            <w:vAlign w:val="center"/>
          </w:tcPr>
          <w:p w:rsidR="001A6C54" w:rsidRPr="00163E98" w:rsidRDefault="001A6C54" w:rsidP="00BB1095">
            <w:pPr>
              <w:jc w:val="center"/>
              <w:rPr>
                <w:rFonts w:ascii="Times New Roman" w:hAnsi="Times New Roman"/>
                <w:color w:val="000000"/>
                <w:sz w:val="20"/>
              </w:rPr>
            </w:pPr>
            <w:r w:rsidRPr="00163E98">
              <w:rPr>
                <w:rFonts w:ascii="Times New Roman" w:hAnsi="Times New Roman"/>
                <w:color w:val="000000"/>
                <w:sz w:val="20"/>
              </w:rPr>
              <w:t>17</w:t>
            </w:r>
          </w:p>
        </w:tc>
      </w:tr>
      <w:tr w:rsidR="001A6C54" w:rsidTr="00BB1095">
        <w:trPr>
          <w:jc w:val="center"/>
        </w:trPr>
        <w:tc>
          <w:tcPr>
            <w:tcW w:w="4335" w:type="dxa"/>
            <w:vAlign w:val="center"/>
          </w:tcPr>
          <w:p w:rsidR="001A6C54" w:rsidRPr="00163E98" w:rsidRDefault="001A6C54" w:rsidP="0047261A">
            <w:pPr>
              <w:rPr>
                <w:rFonts w:ascii="Times New Roman" w:hAnsi="Times New Roman"/>
                <w:sz w:val="20"/>
                <w:szCs w:val="24"/>
              </w:rPr>
            </w:pPr>
            <w:r w:rsidRPr="00163E98">
              <w:rPr>
                <w:rFonts w:ascii="Times New Roman" w:hAnsi="Times New Roman"/>
                <w:sz w:val="20"/>
                <w:szCs w:val="24"/>
              </w:rPr>
              <w:t>Bushwick North, Brooklyn</w:t>
            </w:r>
          </w:p>
        </w:tc>
        <w:tc>
          <w:tcPr>
            <w:tcW w:w="2950" w:type="dxa"/>
            <w:vAlign w:val="center"/>
          </w:tcPr>
          <w:p w:rsidR="001A6C54" w:rsidRPr="00163E98" w:rsidRDefault="001A6C54" w:rsidP="00BB1095">
            <w:pPr>
              <w:jc w:val="center"/>
              <w:rPr>
                <w:rFonts w:ascii="Times New Roman" w:hAnsi="Times New Roman"/>
                <w:color w:val="000000"/>
                <w:sz w:val="20"/>
              </w:rPr>
            </w:pPr>
            <w:r w:rsidRPr="00163E98">
              <w:rPr>
                <w:rFonts w:ascii="Times New Roman" w:hAnsi="Times New Roman"/>
                <w:color w:val="000000"/>
                <w:sz w:val="20"/>
              </w:rPr>
              <w:t>22</w:t>
            </w:r>
          </w:p>
        </w:tc>
      </w:tr>
      <w:tr w:rsidR="001A6C54" w:rsidTr="00BB1095">
        <w:trPr>
          <w:jc w:val="center"/>
        </w:trPr>
        <w:tc>
          <w:tcPr>
            <w:tcW w:w="4335" w:type="dxa"/>
            <w:vAlign w:val="center"/>
          </w:tcPr>
          <w:p w:rsidR="001A6C54" w:rsidRPr="00163E98" w:rsidRDefault="001A6C54" w:rsidP="0047261A">
            <w:pPr>
              <w:rPr>
                <w:rFonts w:ascii="Times New Roman" w:hAnsi="Times New Roman"/>
                <w:sz w:val="20"/>
                <w:szCs w:val="24"/>
              </w:rPr>
            </w:pPr>
            <w:r w:rsidRPr="00163E98">
              <w:rPr>
                <w:rFonts w:ascii="Times New Roman" w:hAnsi="Times New Roman"/>
                <w:sz w:val="20"/>
                <w:szCs w:val="24"/>
              </w:rPr>
              <w:t>Bushwick South, Brooklyn</w:t>
            </w:r>
          </w:p>
        </w:tc>
        <w:tc>
          <w:tcPr>
            <w:tcW w:w="2950" w:type="dxa"/>
            <w:vAlign w:val="center"/>
          </w:tcPr>
          <w:p w:rsidR="001A6C54" w:rsidRPr="00163E98" w:rsidRDefault="001A6C54" w:rsidP="00BB1095">
            <w:pPr>
              <w:jc w:val="center"/>
              <w:rPr>
                <w:rFonts w:ascii="Times New Roman" w:hAnsi="Times New Roman"/>
                <w:color w:val="000000"/>
                <w:sz w:val="20"/>
              </w:rPr>
            </w:pPr>
            <w:r w:rsidRPr="00163E98">
              <w:rPr>
                <w:rFonts w:ascii="Times New Roman" w:hAnsi="Times New Roman"/>
                <w:color w:val="000000"/>
                <w:sz w:val="20"/>
              </w:rPr>
              <w:t>18</w:t>
            </w:r>
          </w:p>
        </w:tc>
      </w:tr>
      <w:tr w:rsidR="001A6C54" w:rsidTr="00BB1095">
        <w:trPr>
          <w:jc w:val="center"/>
        </w:trPr>
        <w:tc>
          <w:tcPr>
            <w:tcW w:w="4335" w:type="dxa"/>
            <w:vAlign w:val="center"/>
          </w:tcPr>
          <w:p w:rsidR="001A6C54" w:rsidRPr="00163E98" w:rsidRDefault="001A6C54" w:rsidP="0047261A">
            <w:pPr>
              <w:rPr>
                <w:rFonts w:ascii="Times New Roman" w:hAnsi="Times New Roman"/>
                <w:sz w:val="20"/>
                <w:szCs w:val="24"/>
              </w:rPr>
            </w:pPr>
            <w:r w:rsidRPr="00163E98">
              <w:rPr>
                <w:rFonts w:ascii="Times New Roman" w:eastAsia="Times New Roman" w:hAnsi="Times New Roman"/>
                <w:color w:val="000000"/>
                <w:sz w:val="20"/>
              </w:rPr>
              <w:t>Crown Heights North, Brooklyn</w:t>
            </w:r>
          </w:p>
        </w:tc>
        <w:tc>
          <w:tcPr>
            <w:tcW w:w="2950" w:type="dxa"/>
            <w:vAlign w:val="center"/>
          </w:tcPr>
          <w:p w:rsidR="001A6C54" w:rsidRPr="00163E98" w:rsidRDefault="001A6C54" w:rsidP="00BB1095">
            <w:pPr>
              <w:jc w:val="center"/>
              <w:rPr>
                <w:rFonts w:ascii="Times New Roman" w:hAnsi="Times New Roman"/>
                <w:color w:val="000000"/>
                <w:sz w:val="20"/>
              </w:rPr>
            </w:pPr>
            <w:r w:rsidRPr="00163E98">
              <w:rPr>
                <w:rFonts w:ascii="Times New Roman" w:hAnsi="Times New Roman"/>
                <w:color w:val="000000"/>
                <w:sz w:val="20"/>
              </w:rPr>
              <w:t>32</w:t>
            </w:r>
          </w:p>
        </w:tc>
      </w:tr>
      <w:tr w:rsidR="001A6C54" w:rsidTr="00BB1095">
        <w:trPr>
          <w:jc w:val="center"/>
        </w:trPr>
        <w:tc>
          <w:tcPr>
            <w:tcW w:w="4335" w:type="dxa"/>
            <w:vAlign w:val="center"/>
          </w:tcPr>
          <w:p w:rsidR="001A6C54" w:rsidRPr="00163E98" w:rsidRDefault="001A6C54" w:rsidP="0047261A">
            <w:pPr>
              <w:rPr>
                <w:rFonts w:ascii="Times New Roman" w:hAnsi="Times New Roman"/>
                <w:sz w:val="20"/>
                <w:szCs w:val="24"/>
              </w:rPr>
            </w:pPr>
            <w:r w:rsidRPr="00163E98">
              <w:rPr>
                <w:rFonts w:ascii="Times New Roman" w:eastAsia="Times New Roman" w:hAnsi="Times New Roman"/>
                <w:color w:val="000000"/>
                <w:sz w:val="20"/>
              </w:rPr>
              <w:t>East New York, Brooklyn</w:t>
            </w:r>
          </w:p>
        </w:tc>
        <w:tc>
          <w:tcPr>
            <w:tcW w:w="2950" w:type="dxa"/>
            <w:vAlign w:val="center"/>
          </w:tcPr>
          <w:p w:rsidR="001A6C54" w:rsidRPr="00163E98" w:rsidRDefault="001A6C54" w:rsidP="00BB1095">
            <w:pPr>
              <w:jc w:val="center"/>
              <w:rPr>
                <w:rFonts w:ascii="Times New Roman" w:hAnsi="Times New Roman"/>
                <w:color w:val="000000"/>
                <w:sz w:val="20"/>
              </w:rPr>
            </w:pPr>
            <w:r w:rsidRPr="00163E98">
              <w:rPr>
                <w:rFonts w:ascii="Times New Roman" w:hAnsi="Times New Roman"/>
                <w:color w:val="000000"/>
                <w:sz w:val="20"/>
              </w:rPr>
              <w:t>19</w:t>
            </w:r>
          </w:p>
        </w:tc>
      </w:tr>
      <w:tr w:rsidR="001A6C54" w:rsidTr="00BB1095">
        <w:trPr>
          <w:jc w:val="center"/>
        </w:trPr>
        <w:tc>
          <w:tcPr>
            <w:tcW w:w="4335" w:type="dxa"/>
            <w:vAlign w:val="center"/>
          </w:tcPr>
          <w:p w:rsidR="001A6C54" w:rsidRPr="00163E98" w:rsidRDefault="001A6C54" w:rsidP="0047261A">
            <w:pPr>
              <w:rPr>
                <w:rFonts w:ascii="Times New Roman" w:hAnsi="Times New Roman"/>
                <w:sz w:val="20"/>
                <w:szCs w:val="24"/>
              </w:rPr>
            </w:pPr>
            <w:r w:rsidRPr="00163E98">
              <w:rPr>
                <w:rFonts w:ascii="Times New Roman" w:eastAsia="Times New Roman" w:hAnsi="Times New Roman"/>
                <w:color w:val="000000"/>
                <w:sz w:val="20"/>
              </w:rPr>
              <w:t>Stuyvesant Heights, Brooklyn</w:t>
            </w:r>
          </w:p>
        </w:tc>
        <w:tc>
          <w:tcPr>
            <w:tcW w:w="2950" w:type="dxa"/>
            <w:vAlign w:val="center"/>
          </w:tcPr>
          <w:p w:rsidR="001A6C54" w:rsidRPr="00163E98" w:rsidRDefault="001A6C54" w:rsidP="00BB1095">
            <w:pPr>
              <w:jc w:val="center"/>
              <w:rPr>
                <w:rFonts w:ascii="Times New Roman" w:hAnsi="Times New Roman"/>
                <w:color w:val="000000"/>
                <w:sz w:val="20"/>
              </w:rPr>
            </w:pPr>
            <w:r w:rsidRPr="00163E98">
              <w:rPr>
                <w:rFonts w:ascii="Times New Roman" w:hAnsi="Times New Roman"/>
                <w:color w:val="000000"/>
                <w:sz w:val="20"/>
              </w:rPr>
              <w:t>18</w:t>
            </w:r>
          </w:p>
        </w:tc>
      </w:tr>
      <w:tr w:rsidR="001A6C54" w:rsidTr="00BB1095">
        <w:trPr>
          <w:jc w:val="center"/>
        </w:trPr>
        <w:tc>
          <w:tcPr>
            <w:tcW w:w="4335" w:type="dxa"/>
            <w:vAlign w:val="center"/>
          </w:tcPr>
          <w:p w:rsidR="001A6C54" w:rsidRPr="00163E98" w:rsidRDefault="001A6C54" w:rsidP="0047261A">
            <w:pPr>
              <w:rPr>
                <w:rFonts w:ascii="Times New Roman" w:hAnsi="Times New Roman"/>
                <w:sz w:val="20"/>
                <w:szCs w:val="24"/>
              </w:rPr>
            </w:pPr>
            <w:r w:rsidRPr="00163E98">
              <w:rPr>
                <w:rFonts w:ascii="Times New Roman" w:eastAsia="Times New Roman" w:hAnsi="Times New Roman"/>
                <w:color w:val="000000"/>
                <w:sz w:val="20"/>
              </w:rPr>
              <w:t xml:space="preserve">Central Harlem North-Polo Grounds, </w:t>
            </w:r>
            <w:r w:rsidRPr="00163E98">
              <w:rPr>
                <w:rFonts w:ascii="Times New Roman" w:hAnsi="Times New Roman"/>
                <w:sz w:val="20"/>
                <w:szCs w:val="24"/>
              </w:rPr>
              <w:t>Manhattan</w:t>
            </w:r>
          </w:p>
        </w:tc>
        <w:tc>
          <w:tcPr>
            <w:tcW w:w="2950" w:type="dxa"/>
            <w:vAlign w:val="center"/>
          </w:tcPr>
          <w:p w:rsidR="001A6C54" w:rsidRPr="00163E98" w:rsidRDefault="001A6C54" w:rsidP="00BB1095">
            <w:pPr>
              <w:jc w:val="center"/>
              <w:rPr>
                <w:rFonts w:ascii="Times New Roman" w:hAnsi="Times New Roman"/>
                <w:color w:val="000000"/>
                <w:sz w:val="20"/>
              </w:rPr>
            </w:pPr>
            <w:r w:rsidRPr="00163E98">
              <w:rPr>
                <w:rFonts w:ascii="Times New Roman" w:hAnsi="Times New Roman"/>
                <w:color w:val="000000"/>
                <w:sz w:val="20"/>
              </w:rPr>
              <w:t>19</w:t>
            </w:r>
          </w:p>
        </w:tc>
      </w:tr>
      <w:tr w:rsidR="001A6C54" w:rsidTr="00BB1095">
        <w:trPr>
          <w:jc w:val="center"/>
        </w:trPr>
        <w:tc>
          <w:tcPr>
            <w:tcW w:w="4335" w:type="dxa"/>
            <w:vAlign w:val="center"/>
          </w:tcPr>
          <w:p w:rsidR="001A6C54" w:rsidRPr="00163E98" w:rsidRDefault="001A6C54" w:rsidP="0047261A">
            <w:pPr>
              <w:rPr>
                <w:rFonts w:ascii="Times New Roman" w:hAnsi="Times New Roman"/>
                <w:sz w:val="20"/>
                <w:szCs w:val="24"/>
              </w:rPr>
            </w:pPr>
            <w:r w:rsidRPr="00163E98">
              <w:rPr>
                <w:rFonts w:ascii="Times New Roman" w:eastAsia="Times New Roman" w:hAnsi="Times New Roman"/>
                <w:color w:val="000000"/>
                <w:sz w:val="20"/>
              </w:rPr>
              <w:t xml:space="preserve">Central Harlem South, </w:t>
            </w:r>
            <w:r w:rsidRPr="00163E98">
              <w:rPr>
                <w:rFonts w:ascii="Times New Roman" w:hAnsi="Times New Roman"/>
                <w:sz w:val="20"/>
                <w:szCs w:val="24"/>
              </w:rPr>
              <w:t>Manhattan</w:t>
            </w:r>
          </w:p>
        </w:tc>
        <w:tc>
          <w:tcPr>
            <w:tcW w:w="2950" w:type="dxa"/>
            <w:vAlign w:val="center"/>
          </w:tcPr>
          <w:p w:rsidR="001A6C54" w:rsidRPr="00163E98" w:rsidRDefault="001A6C54" w:rsidP="00BB1095">
            <w:pPr>
              <w:jc w:val="center"/>
              <w:rPr>
                <w:rFonts w:ascii="Times New Roman" w:hAnsi="Times New Roman"/>
                <w:color w:val="000000"/>
                <w:sz w:val="20"/>
              </w:rPr>
            </w:pPr>
            <w:r w:rsidRPr="00163E98">
              <w:rPr>
                <w:rFonts w:ascii="Times New Roman" w:hAnsi="Times New Roman"/>
                <w:color w:val="000000"/>
                <w:sz w:val="20"/>
              </w:rPr>
              <w:t>15</w:t>
            </w:r>
          </w:p>
        </w:tc>
      </w:tr>
      <w:tr w:rsidR="001A6C54" w:rsidTr="00BB1095">
        <w:trPr>
          <w:jc w:val="center"/>
        </w:trPr>
        <w:tc>
          <w:tcPr>
            <w:tcW w:w="4335" w:type="dxa"/>
            <w:vAlign w:val="center"/>
          </w:tcPr>
          <w:p w:rsidR="001A6C54" w:rsidRPr="00163E98" w:rsidRDefault="001A6C54" w:rsidP="0047261A">
            <w:pPr>
              <w:rPr>
                <w:rFonts w:ascii="Times New Roman" w:hAnsi="Times New Roman"/>
                <w:sz w:val="20"/>
                <w:szCs w:val="24"/>
              </w:rPr>
            </w:pPr>
            <w:r w:rsidRPr="00163E98">
              <w:rPr>
                <w:rFonts w:ascii="Times New Roman" w:eastAsia="Times New Roman" w:hAnsi="Times New Roman"/>
                <w:color w:val="000000"/>
                <w:sz w:val="20"/>
              </w:rPr>
              <w:t xml:space="preserve">Hamilton Heights, </w:t>
            </w:r>
            <w:r w:rsidRPr="00163E98">
              <w:rPr>
                <w:rFonts w:ascii="Times New Roman" w:hAnsi="Times New Roman"/>
                <w:sz w:val="20"/>
                <w:szCs w:val="24"/>
              </w:rPr>
              <w:t>Manhattan</w:t>
            </w:r>
          </w:p>
        </w:tc>
        <w:tc>
          <w:tcPr>
            <w:tcW w:w="2950" w:type="dxa"/>
            <w:vAlign w:val="center"/>
          </w:tcPr>
          <w:p w:rsidR="001A6C54" w:rsidRPr="00163E98" w:rsidRDefault="001A6C54" w:rsidP="00BB1095">
            <w:pPr>
              <w:jc w:val="center"/>
              <w:rPr>
                <w:rFonts w:ascii="Times New Roman" w:hAnsi="Times New Roman"/>
                <w:color w:val="000000"/>
                <w:sz w:val="20"/>
              </w:rPr>
            </w:pPr>
            <w:r w:rsidRPr="00163E98">
              <w:rPr>
                <w:rFonts w:ascii="Times New Roman" w:hAnsi="Times New Roman"/>
                <w:color w:val="000000"/>
                <w:sz w:val="20"/>
              </w:rPr>
              <w:t>21</w:t>
            </w:r>
          </w:p>
        </w:tc>
      </w:tr>
      <w:tr w:rsidR="001A6C54" w:rsidTr="00BB1095">
        <w:trPr>
          <w:jc w:val="center"/>
        </w:trPr>
        <w:tc>
          <w:tcPr>
            <w:tcW w:w="4335" w:type="dxa"/>
            <w:vAlign w:val="center"/>
          </w:tcPr>
          <w:p w:rsidR="001A6C54" w:rsidRPr="00163E98" w:rsidRDefault="001A6C54" w:rsidP="0047261A">
            <w:pPr>
              <w:jc w:val="right"/>
              <w:rPr>
                <w:rFonts w:ascii="Times New Roman" w:hAnsi="Times New Roman"/>
                <w:sz w:val="20"/>
                <w:szCs w:val="24"/>
              </w:rPr>
            </w:pPr>
            <w:r w:rsidRPr="00163E98">
              <w:rPr>
                <w:rFonts w:ascii="Times New Roman" w:hAnsi="Times New Roman"/>
                <w:b/>
                <w:sz w:val="20"/>
                <w:szCs w:val="24"/>
              </w:rPr>
              <w:t>Total</w:t>
            </w:r>
          </w:p>
        </w:tc>
        <w:tc>
          <w:tcPr>
            <w:tcW w:w="2950" w:type="dxa"/>
            <w:vAlign w:val="center"/>
          </w:tcPr>
          <w:p w:rsidR="001A6C54" w:rsidRPr="00163E98" w:rsidRDefault="001A6C54" w:rsidP="00BB1095">
            <w:pPr>
              <w:keepNext/>
              <w:jc w:val="center"/>
              <w:rPr>
                <w:rFonts w:ascii="Times New Roman" w:hAnsi="Times New Roman"/>
                <w:color w:val="000000"/>
                <w:sz w:val="20"/>
              </w:rPr>
            </w:pPr>
            <w:r w:rsidRPr="00163E98">
              <w:rPr>
                <w:rFonts w:ascii="Times New Roman" w:hAnsi="Times New Roman"/>
                <w:b/>
                <w:bCs/>
                <w:color w:val="000000"/>
                <w:sz w:val="20"/>
              </w:rPr>
              <w:t>213</w:t>
            </w:r>
          </w:p>
        </w:tc>
      </w:tr>
    </w:tbl>
    <w:p w:rsidR="00D25529" w:rsidRPr="00AE2DA0" w:rsidRDefault="00D25529" w:rsidP="00AE2DA0">
      <w:pPr>
        <w:pStyle w:val="Caption"/>
        <w:jc w:val="center"/>
        <w:rPr>
          <w:rFonts w:ascii="Times New Roman" w:hAnsi="Times New Roman"/>
        </w:rPr>
      </w:pPr>
      <w:r w:rsidRPr="00AE2DA0">
        <w:rPr>
          <w:rFonts w:ascii="Times New Roman" w:hAnsi="Times New Roman"/>
        </w:rPr>
        <w:t xml:space="preserve">Figure </w:t>
      </w:r>
      <w:r w:rsidRPr="00AE2DA0">
        <w:rPr>
          <w:rFonts w:ascii="Times New Roman" w:hAnsi="Times New Roman"/>
        </w:rPr>
        <w:fldChar w:fldCharType="begin"/>
      </w:r>
      <w:r w:rsidRPr="00AE2DA0">
        <w:rPr>
          <w:rFonts w:ascii="Times New Roman" w:hAnsi="Times New Roman"/>
        </w:rPr>
        <w:instrText xml:space="preserve"> SEQ Figure \* ARABIC </w:instrText>
      </w:r>
      <w:r w:rsidRPr="00AE2DA0">
        <w:rPr>
          <w:rFonts w:ascii="Times New Roman" w:hAnsi="Times New Roman"/>
        </w:rPr>
        <w:fldChar w:fldCharType="separate"/>
      </w:r>
      <w:r w:rsidR="00A407AB">
        <w:rPr>
          <w:rFonts w:ascii="Times New Roman" w:hAnsi="Times New Roman"/>
          <w:noProof/>
        </w:rPr>
        <w:t>4</w:t>
      </w:r>
      <w:r w:rsidRPr="00AE2DA0">
        <w:rPr>
          <w:rFonts w:ascii="Times New Roman" w:hAnsi="Times New Roman"/>
        </w:rPr>
        <w:fldChar w:fldCharType="end"/>
      </w:r>
      <w:r w:rsidRPr="00AE2DA0">
        <w:rPr>
          <w:rFonts w:ascii="Times New Roman" w:hAnsi="Times New Roman"/>
        </w:rPr>
        <w:t>. TPT Round X Neighborhood</w:t>
      </w:r>
      <w:r w:rsidR="00BB1095">
        <w:rPr>
          <w:rFonts w:ascii="Times New Roman" w:hAnsi="Times New Roman"/>
        </w:rPr>
        <w:t>s with Greatest Property</w:t>
      </w:r>
      <w:r w:rsidRPr="00AE2DA0">
        <w:rPr>
          <w:rFonts w:ascii="Times New Roman" w:hAnsi="Times New Roman"/>
        </w:rPr>
        <w:t xml:space="preserve"> Concentration</w:t>
      </w:r>
    </w:p>
    <w:p w:rsidR="00E333B2" w:rsidRDefault="00B207E7" w:rsidP="00AE2DA0">
      <w:pPr>
        <w:pStyle w:val="Heading2"/>
        <w:spacing w:before="0" w:after="0" w:line="480" w:lineRule="auto"/>
        <w:jc w:val="both"/>
        <w:rPr>
          <w:rFonts w:ascii="Times New Roman" w:hAnsi="Times New Roman" w:cs="Times New Roman"/>
          <w:b w:val="0"/>
          <w:i w:val="0"/>
          <w:sz w:val="24"/>
          <w:szCs w:val="24"/>
          <w:u w:val="single"/>
        </w:rPr>
      </w:pPr>
      <w:r>
        <w:rPr>
          <w:rFonts w:ascii="Times New Roman" w:hAnsi="Times New Roman" w:cs="Times New Roman"/>
          <w:b w:val="0"/>
          <w:i w:val="0"/>
          <w:sz w:val="24"/>
          <w:szCs w:val="24"/>
          <w:u w:val="single"/>
        </w:rPr>
        <w:t>Homeowner</w:t>
      </w:r>
      <w:r w:rsidR="00301797">
        <w:rPr>
          <w:rFonts w:ascii="Times New Roman" w:hAnsi="Times New Roman" w:cs="Times New Roman"/>
          <w:b w:val="0"/>
          <w:i w:val="0"/>
          <w:sz w:val="24"/>
          <w:szCs w:val="24"/>
          <w:u w:val="single"/>
        </w:rPr>
        <w:t>s</w:t>
      </w:r>
      <w:r w:rsidR="00CC3428">
        <w:rPr>
          <w:rFonts w:ascii="Times New Roman" w:hAnsi="Times New Roman" w:cs="Times New Roman"/>
          <w:b w:val="0"/>
          <w:i w:val="0"/>
          <w:sz w:val="24"/>
          <w:szCs w:val="24"/>
          <w:u w:val="single"/>
        </w:rPr>
        <w:t>’</w:t>
      </w:r>
      <w:r w:rsidR="005A6281">
        <w:rPr>
          <w:rFonts w:ascii="Times New Roman" w:hAnsi="Times New Roman" w:cs="Times New Roman"/>
          <w:b w:val="0"/>
          <w:i w:val="0"/>
          <w:sz w:val="24"/>
          <w:szCs w:val="24"/>
          <w:u w:val="single"/>
        </w:rPr>
        <w:t xml:space="preserve"> Experience</w:t>
      </w:r>
      <w:r w:rsidR="00301797">
        <w:rPr>
          <w:rFonts w:ascii="Times New Roman" w:hAnsi="Times New Roman" w:cs="Times New Roman"/>
          <w:b w:val="0"/>
          <w:i w:val="0"/>
          <w:sz w:val="24"/>
          <w:szCs w:val="24"/>
          <w:u w:val="single"/>
        </w:rPr>
        <w:t>s</w:t>
      </w:r>
      <w:r w:rsidR="005A6281">
        <w:rPr>
          <w:rFonts w:ascii="Times New Roman" w:hAnsi="Times New Roman" w:cs="Times New Roman"/>
          <w:b w:val="0"/>
          <w:i w:val="0"/>
          <w:sz w:val="24"/>
          <w:szCs w:val="24"/>
          <w:u w:val="single"/>
        </w:rPr>
        <w:t xml:space="preserve"> with Round X</w:t>
      </w:r>
    </w:p>
    <w:p w:rsidR="001739EB" w:rsidRDefault="00CF40CF" w:rsidP="00E05500">
      <w:pPr>
        <w:autoSpaceDE w:val="0"/>
        <w:autoSpaceDN w:val="0"/>
        <w:adjustRightInd w:val="0"/>
        <w:spacing w:after="0" w:line="480" w:lineRule="auto"/>
        <w:ind w:firstLine="720"/>
        <w:jc w:val="both"/>
        <w:rPr>
          <w:rFonts w:ascii="Times New Roman" w:hAnsi="Times New Roman"/>
          <w:sz w:val="24"/>
          <w:szCs w:val="24"/>
        </w:rPr>
      </w:pPr>
      <w:r w:rsidRPr="00BC750B">
        <w:rPr>
          <w:rFonts w:ascii="Times New Roman" w:hAnsi="Times New Roman"/>
          <w:sz w:val="24"/>
          <w:szCs w:val="24"/>
        </w:rPr>
        <w:t xml:space="preserve">In order for a homeowner to have the ability to remove </w:t>
      </w:r>
      <w:r w:rsidR="008C610E">
        <w:rPr>
          <w:rFonts w:ascii="Times New Roman" w:hAnsi="Times New Roman"/>
          <w:sz w:val="24"/>
          <w:szCs w:val="24"/>
        </w:rPr>
        <w:t>their</w:t>
      </w:r>
      <w:r w:rsidRPr="00BC750B">
        <w:rPr>
          <w:rFonts w:ascii="Times New Roman" w:hAnsi="Times New Roman"/>
          <w:sz w:val="24"/>
          <w:szCs w:val="24"/>
        </w:rPr>
        <w:t xml:space="preserve"> property from the Program, that homeowner must </w:t>
      </w:r>
      <w:r>
        <w:rPr>
          <w:rFonts w:ascii="Times New Roman" w:hAnsi="Times New Roman"/>
          <w:sz w:val="24"/>
          <w:szCs w:val="24"/>
        </w:rPr>
        <w:t xml:space="preserve">receive notice that their property </w:t>
      </w:r>
      <w:r w:rsidRPr="00BC750B">
        <w:rPr>
          <w:rFonts w:ascii="Times New Roman" w:hAnsi="Times New Roman"/>
          <w:sz w:val="24"/>
          <w:szCs w:val="24"/>
        </w:rPr>
        <w:t xml:space="preserve">is about to be </w:t>
      </w:r>
      <w:r>
        <w:rPr>
          <w:rFonts w:ascii="Times New Roman" w:hAnsi="Times New Roman"/>
          <w:sz w:val="24"/>
          <w:szCs w:val="24"/>
        </w:rPr>
        <w:t xml:space="preserve">lost to </w:t>
      </w:r>
      <w:r w:rsidRPr="00BC750B">
        <w:rPr>
          <w:rFonts w:ascii="Times New Roman" w:hAnsi="Times New Roman"/>
          <w:sz w:val="24"/>
          <w:szCs w:val="24"/>
        </w:rPr>
        <w:t>foreclos</w:t>
      </w:r>
      <w:r>
        <w:rPr>
          <w:rFonts w:ascii="Times New Roman" w:hAnsi="Times New Roman"/>
          <w:sz w:val="24"/>
          <w:szCs w:val="24"/>
        </w:rPr>
        <w:t>ure</w:t>
      </w:r>
      <w:r w:rsidRPr="00BC750B">
        <w:rPr>
          <w:rFonts w:ascii="Times New Roman" w:hAnsi="Times New Roman"/>
          <w:sz w:val="24"/>
          <w:szCs w:val="24"/>
        </w:rPr>
        <w:t>, and</w:t>
      </w:r>
      <w:r w:rsidR="00DA24AD">
        <w:rPr>
          <w:rFonts w:ascii="Times New Roman" w:hAnsi="Times New Roman"/>
          <w:sz w:val="24"/>
          <w:szCs w:val="24"/>
        </w:rPr>
        <w:t xml:space="preserve"> be</w:t>
      </w:r>
      <w:r w:rsidRPr="00BC750B">
        <w:rPr>
          <w:rFonts w:ascii="Times New Roman" w:hAnsi="Times New Roman"/>
          <w:sz w:val="24"/>
          <w:szCs w:val="24"/>
        </w:rPr>
        <w:t xml:space="preserve"> </w:t>
      </w:r>
      <w:r>
        <w:rPr>
          <w:rFonts w:ascii="Times New Roman" w:hAnsi="Times New Roman"/>
          <w:sz w:val="24"/>
          <w:szCs w:val="24"/>
        </w:rPr>
        <w:t xml:space="preserve">provided </w:t>
      </w:r>
      <w:r w:rsidRPr="00BC750B">
        <w:rPr>
          <w:rFonts w:ascii="Times New Roman" w:hAnsi="Times New Roman"/>
          <w:sz w:val="24"/>
          <w:szCs w:val="24"/>
        </w:rPr>
        <w:t>a real and meaningful opportunity to redeem that property</w:t>
      </w:r>
      <w:r w:rsidR="00B50CA2" w:rsidRPr="00BC750B">
        <w:rPr>
          <w:rFonts w:ascii="Times New Roman" w:hAnsi="Times New Roman"/>
          <w:sz w:val="24"/>
          <w:szCs w:val="24"/>
        </w:rPr>
        <w:t>.</w:t>
      </w:r>
      <w:r w:rsidR="00CC3428">
        <w:rPr>
          <w:rStyle w:val="FootnoteReference"/>
          <w:rFonts w:ascii="Times New Roman" w:hAnsi="Times New Roman"/>
          <w:sz w:val="24"/>
          <w:szCs w:val="24"/>
        </w:rPr>
        <w:footnoteReference w:id="58"/>
      </w:r>
      <w:r w:rsidR="00B50CA2" w:rsidRPr="00BC750B">
        <w:rPr>
          <w:rFonts w:ascii="Times New Roman" w:hAnsi="Times New Roman"/>
          <w:sz w:val="24"/>
          <w:szCs w:val="24"/>
        </w:rPr>
        <w:t xml:space="preserve">  </w:t>
      </w:r>
    </w:p>
    <w:p w:rsidR="005C5E57" w:rsidRPr="00932543" w:rsidRDefault="005C5E57" w:rsidP="00FC409E">
      <w:pPr>
        <w:autoSpaceDE w:val="0"/>
        <w:autoSpaceDN w:val="0"/>
        <w:adjustRightInd w:val="0"/>
        <w:spacing w:after="0" w:line="480" w:lineRule="auto"/>
        <w:jc w:val="both"/>
        <w:rPr>
          <w:rFonts w:ascii="Times New Roman" w:hAnsi="Times New Roman"/>
          <w:i/>
          <w:sz w:val="24"/>
          <w:szCs w:val="24"/>
        </w:rPr>
      </w:pPr>
      <w:r w:rsidRPr="00932543">
        <w:rPr>
          <w:rFonts w:ascii="Times New Roman" w:hAnsi="Times New Roman"/>
          <w:i/>
          <w:sz w:val="24"/>
          <w:szCs w:val="24"/>
        </w:rPr>
        <w:t>Notice</w:t>
      </w:r>
    </w:p>
    <w:p w:rsidR="007A6468" w:rsidRDefault="00AF47B6" w:rsidP="00617CE4">
      <w:pPr>
        <w:spacing w:after="0" w:line="480" w:lineRule="auto"/>
        <w:ind w:firstLine="720"/>
        <w:jc w:val="both"/>
        <w:rPr>
          <w:rFonts w:ascii="Times New Roman" w:hAnsi="Times New Roman"/>
          <w:sz w:val="24"/>
          <w:szCs w:val="24"/>
        </w:rPr>
      </w:pPr>
      <w:r>
        <w:rPr>
          <w:rFonts w:ascii="Times New Roman" w:hAnsi="Times New Roman"/>
          <w:sz w:val="24"/>
          <w:szCs w:val="24"/>
        </w:rPr>
        <w:t xml:space="preserve">According to the </w:t>
      </w:r>
      <w:r w:rsidR="00BC750B" w:rsidRPr="00BC750B">
        <w:rPr>
          <w:rFonts w:ascii="Times New Roman" w:hAnsi="Times New Roman"/>
          <w:sz w:val="24"/>
          <w:szCs w:val="24"/>
        </w:rPr>
        <w:t>City</w:t>
      </w:r>
      <w:r>
        <w:rPr>
          <w:rFonts w:ascii="Times New Roman" w:hAnsi="Times New Roman"/>
          <w:sz w:val="24"/>
          <w:szCs w:val="24"/>
        </w:rPr>
        <w:t xml:space="preserve">, </w:t>
      </w:r>
      <w:r w:rsidR="00BC750B" w:rsidRPr="00BC750B">
        <w:rPr>
          <w:rFonts w:ascii="Times New Roman" w:hAnsi="Times New Roman"/>
          <w:sz w:val="24"/>
          <w:szCs w:val="24"/>
        </w:rPr>
        <w:t>“[e]ach building with outstanding property taxes and water and sewer charges [</w:t>
      </w:r>
      <w:r w:rsidR="00BB05B8">
        <w:rPr>
          <w:rFonts w:ascii="Times New Roman" w:hAnsi="Times New Roman"/>
          <w:sz w:val="24"/>
          <w:szCs w:val="24"/>
        </w:rPr>
        <w:t xml:space="preserve">in Round X </w:t>
      </w:r>
      <w:r w:rsidR="00BC750B" w:rsidRPr="00BC750B">
        <w:rPr>
          <w:rFonts w:ascii="Times New Roman" w:hAnsi="Times New Roman"/>
          <w:sz w:val="24"/>
          <w:szCs w:val="24"/>
        </w:rPr>
        <w:t xml:space="preserve">was] proactively contacted by the city, </w:t>
      </w:r>
      <w:r w:rsidR="00BC750B" w:rsidRPr="00893C8C">
        <w:rPr>
          <w:rFonts w:ascii="Times New Roman" w:hAnsi="Times New Roman"/>
          <w:sz w:val="24"/>
          <w:szCs w:val="24"/>
        </w:rPr>
        <w:t xml:space="preserve">a </w:t>
      </w:r>
      <w:r w:rsidR="00BC750B" w:rsidRPr="00893C8C">
        <w:rPr>
          <w:rFonts w:ascii="Times New Roman" w:hAnsi="Times New Roman"/>
          <w:bCs/>
          <w:sz w:val="24"/>
          <w:szCs w:val="24"/>
        </w:rPr>
        <w:t>minimum of 70 times</w:t>
      </w:r>
      <w:r w:rsidR="00BC750B" w:rsidRPr="00893C8C">
        <w:rPr>
          <w:rFonts w:ascii="Times New Roman" w:hAnsi="Times New Roman"/>
          <w:sz w:val="24"/>
          <w:szCs w:val="24"/>
        </w:rPr>
        <w:t xml:space="preserve"> since the beginning of the rounds in 2015, including notices, letters, bill</w:t>
      </w:r>
      <w:r w:rsidR="00514984">
        <w:rPr>
          <w:rFonts w:ascii="Times New Roman" w:hAnsi="Times New Roman"/>
          <w:sz w:val="24"/>
          <w:szCs w:val="24"/>
        </w:rPr>
        <w:t xml:space="preserve">s, robocalls and direct . . . </w:t>
      </w:r>
      <w:r w:rsidR="00BC750B" w:rsidRPr="00893C8C">
        <w:rPr>
          <w:rFonts w:ascii="Times New Roman" w:hAnsi="Times New Roman"/>
          <w:sz w:val="24"/>
          <w:szCs w:val="24"/>
        </w:rPr>
        <w:t>outreach.” Specifically, the City</w:t>
      </w:r>
      <w:r w:rsidR="0038155F">
        <w:rPr>
          <w:rFonts w:ascii="Times New Roman" w:hAnsi="Times New Roman"/>
          <w:sz w:val="24"/>
          <w:szCs w:val="24"/>
        </w:rPr>
        <w:t xml:space="preserve"> has stated that</w:t>
      </w:r>
      <w:r w:rsidR="00BC750B" w:rsidRPr="00893C8C">
        <w:rPr>
          <w:rFonts w:ascii="Times New Roman" w:hAnsi="Times New Roman"/>
          <w:sz w:val="24"/>
          <w:szCs w:val="24"/>
        </w:rPr>
        <w:t xml:space="preserve">, “[i]n addition to the standard property tax and water or sewer bills, each owner received multiple letters that indicated that their property was subject to transfer through TPT” and that “HPD also made robocalls in English and Spanish and offered </w:t>
      </w:r>
      <w:r w:rsidR="00194D59">
        <w:rPr>
          <w:rFonts w:ascii="Times New Roman" w:hAnsi="Times New Roman"/>
          <w:sz w:val="24"/>
          <w:szCs w:val="24"/>
        </w:rPr>
        <w:t>homeowner</w:t>
      </w:r>
      <w:r w:rsidR="00BC750B" w:rsidRPr="00893C8C">
        <w:rPr>
          <w:rFonts w:ascii="Times New Roman" w:hAnsi="Times New Roman"/>
          <w:sz w:val="24"/>
          <w:szCs w:val="24"/>
        </w:rPr>
        <w:t xml:space="preserve"> clinics to provide fur</w:t>
      </w:r>
      <w:r w:rsidR="00843032" w:rsidRPr="00893C8C">
        <w:rPr>
          <w:rFonts w:ascii="Times New Roman" w:hAnsi="Times New Roman"/>
          <w:sz w:val="24"/>
          <w:szCs w:val="24"/>
        </w:rPr>
        <w:t>ther information and assistance.</w:t>
      </w:r>
      <w:r w:rsidR="00BC750B" w:rsidRPr="00893C8C">
        <w:rPr>
          <w:rFonts w:ascii="Times New Roman" w:hAnsi="Times New Roman"/>
          <w:sz w:val="24"/>
          <w:szCs w:val="24"/>
        </w:rPr>
        <w:t>”</w:t>
      </w:r>
      <w:r w:rsidR="00BC750B" w:rsidRPr="00893C8C">
        <w:rPr>
          <w:rStyle w:val="FootnoteReference"/>
          <w:rFonts w:ascii="Times New Roman" w:hAnsi="Times New Roman"/>
          <w:sz w:val="24"/>
          <w:szCs w:val="24"/>
        </w:rPr>
        <w:footnoteReference w:id="59"/>
      </w:r>
      <w:r w:rsidR="00E40BE8">
        <w:rPr>
          <w:rFonts w:ascii="Times New Roman" w:hAnsi="Times New Roman"/>
          <w:sz w:val="24"/>
          <w:szCs w:val="24"/>
        </w:rPr>
        <w:t xml:space="preserve">  </w:t>
      </w:r>
    </w:p>
    <w:p w:rsidR="008255AA" w:rsidRPr="00B245E3" w:rsidRDefault="003164CA" w:rsidP="00B245E3">
      <w:pPr>
        <w:spacing w:after="0" w:line="480" w:lineRule="auto"/>
        <w:ind w:firstLine="720"/>
        <w:jc w:val="both"/>
        <w:rPr>
          <w:rFonts w:ascii="Times New Roman" w:hAnsi="Times New Roman"/>
          <w:sz w:val="24"/>
          <w:szCs w:val="24"/>
        </w:rPr>
      </w:pPr>
      <w:r>
        <w:rPr>
          <w:rFonts w:ascii="Times New Roman" w:hAnsi="Times New Roman"/>
          <w:sz w:val="24"/>
          <w:szCs w:val="24"/>
        </w:rPr>
        <w:t>However, some h</w:t>
      </w:r>
      <w:r w:rsidR="00843032" w:rsidRPr="00893C8C">
        <w:rPr>
          <w:rFonts w:ascii="Times New Roman" w:hAnsi="Times New Roman"/>
          <w:sz w:val="24"/>
          <w:szCs w:val="24"/>
        </w:rPr>
        <w:t>omeowners</w:t>
      </w:r>
      <w:r w:rsidR="00843032">
        <w:rPr>
          <w:rFonts w:ascii="Times New Roman" w:hAnsi="Times New Roman"/>
          <w:sz w:val="24"/>
          <w:szCs w:val="24"/>
        </w:rPr>
        <w:t xml:space="preserve"> involved in R</w:t>
      </w:r>
      <w:r w:rsidR="00BC750B" w:rsidRPr="00BC750B">
        <w:rPr>
          <w:rFonts w:ascii="Times New Roman" w:hAnsi="Times New Roman"/>
          <w:sz w:val="24"/>
          <w:szCs w:val="24"/>
        </w:rPr>
        <w:t xml:space="preserve">ound </w:t>
      </w:r>
      <w:r w:rsidR="00843032">
        <w:rPr>
          <w:rFonts w:ascii="Times New Roman" w:hAnsi="Times New Roman"/>
          <w:sz w:val="24"/>
          <w:szCs w:val="24"/>
        </w:rPr>
        <w:t xml:space="preserve">X </w:t>
      </w:r>
      <w:r>
        <w:rPr>
          <w:rFonts w:ascii="Times New Roman" w:hAnsi="Times New Roman"/>
          <w:sz w:val="24"/>
          <w:szCs w:val="24"/>
        </w:rPr>
        <w:t>have</w:t>
      </w:r>
      <w:r w:rsidR="00BC750B" w:rsidRPr="00BC750B">
        <w:rPr>
          <w:rFonts w:ascii="Times New Roman" w:hAnsi="Times New Roman"/>
          <w:sz w:val="24"/>
          <w:szCs w:val="24"/>
        </w:rPr>
        <w:t xml:space="preserve"> allege</w:t>
      </w:r>
      <w:r>
        <w:rPr>
          <w:rFonts w:ascii="Times New Roman" w:hAnsi="Times New Roman"/>
          <w:sz w:val="24"/>
          <w:szCs w:val="24"/>
        </w:rPr>
        <w:t>d</w:t>
      </w:r>
      <w:r w:rsidR="00BC750B" w:rsidRPr="00BC750B">
        <w:rPr>
          <w:rFonts w:ascii="Times New Roman" w:hAnsi="Times New Roman"/>
          <w:sz w:val="24"/>
          <w:szCs w:val="24"/>
        </w:rPr>
        <w:t xml:space="preserve"> that they did not receive notice that their properties were in danger of foreclosure.</w:t>
      </w:r>
      <w:r w:rsidR="004410A0">
        <w:rPr>
          <w:rFonts w:ascii="Times New Roman" w:hAnsi="Times New Roman"/>
          <w:sz w:val="24"/>
          <w:szCs w:val="24"/>
        </w:rPr>
        <w:t xml:space="preserve"> For example, </w:t>
      </w:r>
      <w:r>
        <w:rPr>
          <w:rFonts w:ascii="Times New Roman" w:hAnsi="Times New Roman"/>
          <w:sz w:val="24"/>
          <w:szCs w:val="24"/>
        </w:rPr>
        <w:t xml:space="preserve">in a lawsuit filed </w:t>
      </w:r>
      <w:r w:rsidR="004410A0">
        <w:rPr>
          <w:rFonts w:ascii="Times New Roman" w:hAnsi="Times New Roman"/>
          <w:sz w:val="24"/>
          <w:szCs w:val="24"/>
        </w:rPr>
        <w:t>in Brooklyn</w:t>
      </w:r>
      <w:r>
        <w:rPr>
          <w:rFonts w:ascii="Times New Roman" w:hAnsi="Times New Roman"/>
          <w:sz w:val="24"/>
          <w:szCs w:val="24"/>
        </w:rPr>
        <w:t xml:space="preserve">, </w:t>
      </w:r>
      <w:r w:rsidR="00C050B2">
        <w:rPr>
          <w:rFonts w:ascii="Times New Roman" w:hAnsi="Times New Roman"/>
          <w:sz w:val="24"/>
          <w:szCs w:val="24"/>
        </w:rPr>
        <w:t xml:space="preserve">a </w:t>
      </w:r>
      <w:r w:rsidR="00194D59">
        <w:rPr>
          <w:rFonts w:ascii="Times New Roman" w:hAnsi="Times New Roman"/>
          <w:sz w:val="24"/>
          <w:szCs w:val="24"/>
        </w:rPr>
        <w:t>homeowner</w:t>
      </w:r>
      <w:r w:rsidR="00C050B2">
        <w:rPr>
          <w:rFonts w:ascii="Times New Roman" w:hAnsi="Times New Roman"/>
          <w:sz w:val="24"/>
          <w:szCs w:val="24"/>
        </w:rPr>
        <w:t xml:space="preserve"> claim</w:t>
      </w:r>
      <w:r w:rsidR="005A6281">
        <w:rPr>
          <w:rFonts w:ascii="Times New Roman" w:hAnsi="Times New Roman"/>
          <w:sz w:val="24"/>
          <w:szCs w:val="24"/>
        </w:rPr>
        <w:t xml:space="preserve">ed </w:t>
      </w:r>
      <w:r w:rsidR="00C050B2">
        <w:rPr>
          <w:rFonts w:ascii="Times New Roman" w:hAnsi="Times New Roman"/>
          <w:sz w:val="24"/>
          <w:szCs w:val="24"/>
        </w:rPr>
        <w:t xml:space="preserve">that </w:t>
      </w:r>
      <w:r w:rsidR="004410A0">
        <w:rPr>
          <w:rFonts w:ascii="Times New Roman" w:hAnsi="Times New Roman"/>
          <w:sz w:val="24"/>
          <w:szCs w:val="24"/>
        </w:rPr>
        <w:t xml:space="preserve">she </w:t>
      </w:r>
      <w:r>
        <w:rPr>
          <w:rFonts w:ascii="Times New Roman" w:hAnsi="Times New Roman"/>
          <w:sz w:val="24"/>
          <w:szCs w:val="24"/>
        </w:rPr>
        <w:t xml:space="preserve">was not aware </w:t>
      </w:r>
      <w:r w:rsidR="003C3F74">
        <w:rPr>
          <w:rFonts w:ascii="Times New Roman" w:hAnsi="Times New Roman"/>
          <w:sz w:val="24"/>
          <w:szCs w:val="24"/>
        </w:rPr>
        <w:t xml:space="preserve">that the City had foreclosed upon her property until she was sent a copy of a flyer posted at </w:t>
      </w:r>
      <w:r w:rsidR="001919F9">
        <w:rPr>
          <w:rFonts w:ascii="Times New Roman" w:hAnsi="Times New Roman"/>
          <w:sz w:val="24"/>
          <w:szCs w:val="24"/>
        </w:rPr>
        <w:t xml:space="preserve">the </w:t>
      </w:r>
      <w:r w:rsidR="003C3F74">
        <w:rPr>
          <w:rFonts w:ascii="Times New Roman" w:hAnsi="Times New Roman"/>
          <w:sz w:val="24"/>
          <w:szCs w:val="24"/>
        </w:rPr>
        <w:t xml:space="preserve">property </w:t>
      </w:r>
      <w:r w:rsidR="001919F9">
        <w:rPr>
          <w:rFonts w:ascii="Times New Roman" w:hAnsi="Times New Roman"/>
          <w:sz w:val="24"/>
          <w:szCs w:val="24"/>
        </w:rPr>
        <w:t xml:space="preserve">stating that it </w:t>
      </w:r>
      <w:r w:rsidR="003C3F74">
        <w:rPr>
          <w:rFonts w:ascii="Times New Roman" w:hAnsi="Times New Roman"/>
          <w:sz w:val="24"/>
          <w:szCs w:val="24"/>
        </w:rPr>
        <w:t>had been transferred to Neighborhood Restore as part of TPT.</w:t>
      </w:r>
      <w:r w:rsidR="00BC750B" w:rsidRPr="00BD7C8F">
        <w:rPr>
          <w:rStyle w:val="FootnoteReference"/>
          <w:rFonts w:ascii="Times New Roman" w:hAnsi="Times New Roman"/>
          <w:sz w:val="24"/>
          <w:szCs w:val="24"/>
        </w:rPr>
        <w:footnoteReference w:id="60"/>
      </w:r>
      <w:r w:rsidR="00BC750B" w:rsidRPr="00BC750B">
        <w:rPr>
          <w:rFonts w:ascii="Times New Roman" w:hAnsi="Times New Roman"/>
          <w:sz w:val="24"/>
          <w:szCs w:val="24"/>
        </w:rPr>
        <w:t xml:space="preserve"> </w:t>
      </w:r>
      <w:r w:rsidR="00893C8C">
        <w:rPr>
          <w:rFonts w:ascii="Times New Roman" w:hAnsi="Times New Roman"/>
          <w:sz w:val="24"/>
          <w:szCs w:val="24"/>
        </w:rPr>
        <w:t xml:space="preserve"> </w:t>
      </w:r>
    </w:p>
    <w:p w:rsidR="001B1712" w:rsidRDefault="00AA78D1" w:rsidP="00C73F09">
      <w:pPr>
        <w:rPr>
          <w:rFonts w:ascii="Times New Roman" w:hAnsi="Times New Roman"/>
          <w:i/>
          <w:sz w:val="24"/>
          <w:szCs w:val="24"/>
        </w:rPr>
      </w:pPr>
      <w:r>
        <w:rPr>
          <w:rFonts w:ascii="Times New Roman" w:hAnsi="Times New Roman"/>
          <w:i/>
          <w:sz w:val="24"/>
          <w:szCs w:val="24"/>
        </w:rPr>
        <w:t>Opportunity to Redeem</w:t>
      </w:r>
    </w:p>
    <w:p w:rsidR="00C269FC" w:rsidRDefault="00E351B9" w:rsidP="00FC409E">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As described above, a </w:t>
      </w:r>
      <w:r w:rsidR="00194D59">
        <w:rPr>
          <w:rFonts w:ascii="Times New Roman" w:hAnsi="Times New Roman"/>
          <w:sz w:val="24"/>
          <w:szCs w:val="24"/>
        </w:rPr>
        <w:t>homeowner</w:t>
      </w:r>
      <w:r>
        <w:rPr>
          <w:rFonts w:ascii="Times New Roman" w:hAnsi="Times New Roman"/>
          <w:sz w:val="24"/>
          <w:szCs w:val="24"/>
        </w:rPr>
        <w:t xml:space="preserve"> has </w:t>
      </w:r>
      <w:r w:rsidR="0026358B">
        <w:rPr>
          <w:rFonts w:ascii="Times New Roman" w:hAnsi="Times New Roman"/>
          <w:sz w:val="24"/>
          <w:szCs w:val="24"/>
        </w:rPr>
        <w:t>u</w:t>
      </w:r>
      <w:r w:rsidR="005A6281">
        <w:rPr>
          <w:rFonts w:ascii="Times New Roman" w:hAnsi="Times New Roman"/>
          <w:sz w:val="24"/>
          <w:szCs w:val="24"/>
        </w:rPr>
        <w:t xml:space="preserve">p to </w:t>
      </w:r>
      <w:r>
        <w:rPr>
          <w:rFonts w:ascii="Times New Roman" w:hAnsi="Times New Roman"/>
          <w:sz w:val="24"/>
          <w:szCs w:val="24"/>
        </w:rPr>
        <w:t xml:space="preserve">four months </w:t>
      </w:r>
      <w:r w:rsidR="0068283D">
        <w:rPr>
          <w:rFonts w:ascii="Times New Roman" w:hAnsi="Times New Roman"/>
          <w:sz w:val="24"/>
          <w:szCs w:val="24"/>
        </w:rPr>
        <w:t>post-</w:t>
      </w:r>
      <w:r w:rsidR="009A0DAC">
        <w:rPr>
          <w:rFonts w:ascii="Times New Roman" w:hAnsi="Times New Roman"/>
          <w:sz w:val="24"/>
          <w:szCs w:val="24"/>
        </w:rPr>
        <w:t>foreclosure</w:t>
      </w:r>
      <w:r w:rsidR="0068283D">
        <w:rPr>
          <w:rFonts w:ascii="Times New Roman" w:hAnsi="Times New Roman"/>
          <w:sz w:val="24"/>
          <w:szCs w:val="24"/>
        </w:rPr>
        <w:t xml:space="preserve"> </w:t>
      </w:r>
      <w:r w:rsidR="003B0D8D">
        <w:rPr>
          <w:rFonts w:ascii="Times New Roman" w:hAnsi="Times New Roman"/>
          <w:sz w:val="24"/>
          <w:szCs w:val="24"/>
        </w:rPr>
        <w:t xml:space="preserve">to </w:t>
      </w:r>
      <w:r>
        <w:rPr>
          <w:rFonts w:ascii="Times New Roman" w:hAnsi="Times New Roman"/>
          <w:sz w:val="24"/>
          <w:szCs w:val="24"/>
        </w:rPr>
        <w:t>redeem their property by paying all outstanding arrears</w:t>
      </w:r>
      <w:r>
        <w:rPr>
          <w:rStyle w:val="FootnoteReference"/>
          <w:rFonts w:ascii="Times New Roman" w:hAnsi="Times New Roman"/>
          <w:sz w:val="24"/>
          <w:szCs w:val="24"/>
        </w:rPr>
        <w:footnoteReference w:id="61"/>
      </w:r>
      <w:r>
        <w:rPr>
          <w:rFonts w:ascii="Times New Roman" w:hAnsi="Times New Roman"/>
          <w:sz w:val="24"/>
          <w:szCs w:val="24"/>
        </w:rPr>
        <w:t xml:space="preserve"> or </w:t>
      </w:r>
      <w:r w:rsidRPr="004A1BA2">
        <w:rPr>
          <w:rFonts w:ascii="Times New Roman" w:hAnsi="Times New Roman"/>
          <w:sz w:val="24"/>
          <w:szCs w:val="24"/>
        </w:rPr>
        <w:t>enter</w:t>
      </w:r>
      <w:r w:rsidR="00C068CB">
        <w:rPr>
          <w:rFonts w:ascii="Times New Roman" w:hAnsi="Times New Roman"/>
          <w:sz w:val="24"/>
          <w:szCs w:val="24"/>
        </w:rPr>
        <w:t>ing</w:t>
      </w:r>
      <w:r>
        <w:rPr>
          <w:rFonts w:ascii="Times New Roman" w:hAnsi="Times New Roman"/>
          <w:sz w:val="24"/>
          <w:szCs w:val="24"/>
        </w:rPr>
        <w:t xml:space="preserve"> into an installment payment plan to do so.</w:t>
      </w:r>
      <w:r>
        <w:rPr>
          <w:rStyle w:val="FootnoteReference"/>
          <w:rFonts w:ascii="Times New Roman" w:hAnsi="Times New Roman"/>
          <w:sz w:val="24"/>
          <w:szCs w:val="24"/>
        </w:rPr>
        <w:footnoteReference w:id="62"/>
      </w:r>
      <w:r>
        <w:rPr>
          <w:rFonts w:ascii="Times New Roman" w:hAnsi="Times New Roman"/>
          <w:sz w:val="24"/>
          <w:szCs w:val="24"/>
        </w:rPr>
        <w:t xml:space="preserve"> </w:t>
      </w:r>
      <w:r w:rsidR="008331D3" w:rsidRPr="00E3405B">
        <w:rPr>
          <w:rFonts w:ascii="Times New Roman" w:hAnsi="Times New Roman"/>
          <w:sz w:val="24"/>
          <w:szCs w:val="24"/>
        </w:rPr>
        <w:t xml:space="preserve">Some of the homeowners whose properties were included in Round X claimed </w:t>
      </w:r>
      <w:r w:rsidR="00294642">
        <w:rPr>
          <w:rFonts w:ascii="Times New Roman" w:hAnsi="Times New Roman"/>
          <w:sz w:val="24"/>
          <w:szCs w:val="24"/>
        </w:rPr>
        <w:t xml:space="preserve">in legal filings </w:t>
      </w:r>
      <w:r w:rsidR="001C3217" w:rsidRPr="00E3405B">
        <w:rPr>
          <w:rFonts w:ascii="Times New Roman" w:hAnsi="Times New Roman"/>
          <w:sz w:val="24"/>
          <w:szCs w:val="24"/>
        </w:rPr>
        <w:t>that the City inhibited their efforts to redeem their properties when they were ready, willing, and able</w:t>
      </w:r>
    </w:p>
    <w:p w:rsidR="00B50CA2" w:rsidRDefault="001C3217" w:rsidP="002451D5">
      <w:pPr>
        <w:autoSpaceDE w:val="0"/>
        <w:autoSpaceDN w:val="0"/>
        <w:adjustRightInd w:val="0"/>
        <w:spacing w:after="0" w:line="480" w:lineRule="auto"/>
        <w:jc w:val="both"/>
        <w:rPr>
          <w:rFonts w:ascii="Times New Roman" w:hAnsi="Times New Roman"/>
          <w:sz w:val="24"/>
          <w:szCs w:val="24"/>
        </w:rPr>
      </w:pPr>
      <w:r w:rsidRPr="00E3405B">
        <w:rPr>
          <w:rFonts w:ascii="Times New Roman" w:hAnsi="Times New Roman"/>
          <w:sz w:val="24"/>
          <w:szCs w:val="24"/>
        </w:rPr>
        <w:t>to do so.</w:t>
      </w:r>
      <w:r w:rsidR="00156AD0">
        <w:rPr>
          <w:rStyle w:val="FootnoteReference"/>
          <w:rFonts w:ascii="Times New Roman" w:hAnsi="Times New Roman"/>
          <w:sz w:val="24"/>
          <w:szCs w:val="24"/>
        </w:rPr>
        <w:footnoteReference w:id="63"/>
      </w:r>
      <w:r>
        <w:rPr>
          <w:rFonts w:ascii="Times New Roman" w:hAnsi="Times New Roman"/>
          <w:sz w:val="24"/>
          <w:szCs w:val="24"/>
        </w:rPr>
        <w:t xml:space="preserve"> For example, one homeowner </w:t>
      </w:r>
      <w:r w:rsidR="00294642">
        <w:rPr>
          <w:rFonts w:ascii="Times New Roman" w:hAnsi="Times New Roman"/>
          <w:sz w:val="24"/>
          <w:szCs w:val="24"/>
        </w:rPr>
        <w:t xml:space="preserve">has </w:t>
      </w:r>
      <w:r>
        <w:rPr>
          <w:rFonts w:ascii="Times New Roman" w:hAnsi="Times New Roman"/>
          <w:sz w:val="24"/>
          <w:szCs w:val="24"/>
        </w:rPr>
        <w:t>assert</w:t>
      </w:r>
      <w:r w:rsidR="00294642">
        <w:rPr>
          <w:rFonts w:ascii="Times New Roman" w:hAnsi="Times New Roman"/>
          <w:sz w:val="24"/>
          <w:szCs w:val="24"/>
        </w:rPr>
        <w:t xml:space="preserve">ed </w:t>
      </w:r>
      <w:r>
        <w:rPr>
          <w:rFonts w:ascii="Times New Roman" w:hAnsi="Times New Roman"/>
          <w:sz w:val="24"/>
          <w:szCs w:val="24"/>
        </w:rPr>
        <w:t>that she could not pay her taxes because the City incorre</w:t>
      </w:r>
      <w:r w:rsidR="00023CB3">
        <w:rPr>
          <w:rFonts w:ascii="Times New Roman" w:hAnsi="Times New Roman"/>
          <w:sz w:val="24"/>
          <w:szCs w:val="24"/>
        </w:rPr>
        <w:t xml:space="preserve">ctly </w:t>
      </w:r>
      <w:r w:rsidR="00301797">
        <w:rPr>
          <w:rFonts w:ascii="Times New Roman" w:hAnsi="Times New Roman"/>
          <w:sz w:val="24"/>
          <w:szCs w:val="24"/>
        </w:rPr>
        <w:t xml:space="preserve">listed </w:t>
      </w:r>
      <w:r w:rsidR="00023CB3">
        <w:rPr>
          <w:rFonts w:ascii="Times New Roman" w:hAnsi="Times New Roman"/>
          <w:sz w:val="24"/>
          <w:szCs w:val="24"/>
        </w:rPr>
        <w:t>the former owner of her</w:t>
      </w:r>
      <w:r>
        <w:rPr>
          <w:rFonts w:ascii="Times New Roman" w:hAnsi="Times New Roman"/>
          <w:sz w:val="24"/>
          <w:szCs w:val="24"/>
        </w:rPr>
        <w:t xml:space="preserve"> property on the assessment roll, despite numerous attempts on </w:t>
      </w:r>
      <w:r w:rsidR="00294642">
        <w:rPr>
          <w:rFonts w:ascii="Times New Roman" w:hAnsi="Times New Roman"/>
          <w:sz w:val="24"/>
          <w:szCs w:val="24"/>
        </w:rPr>
        <w:t xml:space="preserve">the homeowner’s </w:t>
      </w:r>
      <w:r>
        <w:rPr>
          <w:rFonts w:ascii="Times New Roman" w:hAnsi="Times New Roman"/>
          <w:sz w:val="24"/>
          <w:szCs w:val="24"/>
        </w:rPr>
        <w:t>part to resolve the issue.</w:t>
      </w:r>
      <w:r w:rsidR="00023CB3">
        <w:rPr>
          <w:rStyle w:val="FootnoteReference"/>
          <w:rFonts w:ascii="Times New Roman" w:hAnsi="Times New Roman"/>
          <w:sz w:val="24"/>
          <w:szCs w:val="24"/>
        </w:rPr>
        <w:footnoteReference w:id="64"/>
      </w:r>
      <w:r>
        <w:rPr>
          <w:rFonts w:ascii="Times New Roman" w:hAnsi="Times New Roman"/>
          <w:sz w:val="24"/>
          <w:szCs w:val="24"/>
        </w:rPr>
        <w:t xml:space="preserve"> </w:t>
      </w:r>
      <w:r w:rsidR="00023CB3">
        <w:rPr>
          <w:rFonts w:ascii="Times New Roman" w:hAnsi="Times New Roman"/>
          <w:sz w:val="24"/>
          <w:szCs w:val="24"/>
        </w:rPr>
        <w:t xml:space="preserve">Other homeowners have claimed that they </w:t>
      </w:r>
      <w:r w:rsidR="008331D3" w:rsidRPr="00E3405B">
        <w:rPr>
          <w:rFonts w:ascii="Times New Roman" w:hAnsi="Times New Roman"/>
          <w:sz w:val="24"/>
          <w:szCs w:val="24"/>
        </w:rPr>
        <w:t>entered into payment agreements with the City but the City failed to honor such agreements and foreclosed upon the</w:t>
      </w:r>
      <w:r w:rsidR="00CC6C42">
        <w:rPr>
          <w:rFonts w:ascii="Times New Roman" w:hAnsi="Times New Roman"/>
          <w:sz w:val="24"/>
          <w:szCs w:val="24"/>
        </w:rPr>
        <w:t>ir</w:t>
      </w:r>
      <w:r w:rsidR="008331D3" w:rsidRPr="00E3405B">
        <w:rPr>
          <w:rFonts w:ascii="Times New Roman" w:hAnsi="Times New Roman"/>
          <w:sz w:val="24"/>
          <w:szCs w:val="24"/>
        </w:rPr>
        <w:t xml:space="preserve"> properties anyway</w:t>
      </w:r>
      <w:r w:rsidR="00CC6C42">
        <w:rPr>
          <w:rFonts w:ascii="Times New Roman" w:hAnsi="Times New Roman"/>
          <w:sz w:val="24"/>
          <w:szCs w:val="24"/>
        </w:rPr>
        <w:t>.</w:t>
      </w:r>
      <w:r w:rsidR="00FC409E">
        <w:rPr>
          <w:rStyle w:val="FootnoteReference"/>
          <w:rFonts w:ascii="Times New Roman" w:hAnsi="Times New Roman"/>
          <w:sz w:val="24"/>
          <w:szCs w:val="24"/>
        </w:rPr>
        <w:footnoteReference w:id="65"/>
      </w:r>
      <w:r w:rsidR="00CC6C42">
        <w:rPr>
          <w:rFonts w:ascii="Times New Roman" w:hAnsi="Times New Roman"/>
          <w:sz w:val="24"/>
          <w:szCs w:val="24"/>
        </w:rPr>
        <w:t xml:space="preserve"> In some instances, </w:t>
      </w:r>
      <w:r w:rsidR="00FC409E">
        <w:rPr>
          <w:rFonts w:ascii="Times New Roman" w:hAnsi="Times New Roman"/>
          <w:sz w:val="24"/>
          <w:szCs w:val="24"/>
        </w:rPr>
        <w:t xml:space="preserve">the City continued to </w:t>
      </w:r>
      <w:r w:rsidR="008331D3" w:rsidRPr="00E3405B">
        <w:rPr>
          <w:rFonts w:ascii="Times New Roman" w:hAnsi="Times New Roman"/>
          <w:sz w:val="24"/>
          <w:szCs w:val="24"/>
        </w:rPr>
        <w:t>accept payments from owners o</w:t>
      </w:r>
      <w:r w:rsidR="00FC409E">
        <w:rPr>
          <w:rFonts w:ascii="Times New Roman" w:hAnsi="Times New Roman"/>
          <w:sz w:val="24"/>
          <w:szCs w:val="24"/>
        </w:rPr>
        <w:t xml:space="preserve">f </w:t>
      </w:r>
      <w:r w:rsidR="00F93EBB">
        <w:rPr>
          <w:rFonts w:ascii="Times New Roman" w:hAnsi="Times New Roman"/>
          <w:sz w:val="24"/>
          <w:szCs w:val="24"/>
        </w:rPr>
        <w:t xml:space="preserve">properties already </w:t>
      </w:r>
      <w:r w:rsidR="008331D3" w:rsidRPr="00E3405B">
        <w:rPr>
          <w:rFonts w:ascii="Times New Roman" w:hAnsi="Times New Roman"/>
          <w:sz w:val="24"/>
          <w:szCs w:val="24"/>
        </w:rPr>
        <w:t xml:space="preserve">foreclosed </w:t>
      </w:r>
      <w:r w:rsidR="00F93EBB">
        <w:rPr>
          <w:rFonts w:ascii="Times New Roman" w:hAnsi="Times New Roman"/>
          <w:sz w:val="24"/>
          <w:szCs w:val="24"/>
        </w:rPr>
        <w:t>upon</w:t>
      </w:r>
      <w:r w:rsidR="008331D3" w:rsidRPr="00E3405B">
        <w:rPr>
          <w:rFonts w:ascii="Times New Roman" w:hAnsi="Times New Roman"/>
          <w:sz w:val="24"/>
          <w:szCs w:val="24"/>
        </w:rPr>
        <w:t>.</w:t>
      </w:r>
      <w:r w:rsidR="00D74892">
        <w:rPr>
          <w:rFonts w:ascii="Times New Roman" w:hAnsi="Times New Roman"/>
          <w:sz w:val="24"/>
          <w:szCs w:val="24"/>
        </w:rPr>
        <w:t xml:space="preserve"> </w:t>
      </w:r>
      <w:r w:rsidR="00FC409E">
        <w:rPr>
          <w:rFonts w:ascii="Times New Roman" w:hAnsi="Times New Roman"/>
          <w:sz w:val="24"/>
          <w:szCs w:val="24"/>
        </w:rPr>
        <w:t>For example</w:t>
      </w:r>
      <w:r w:rsidR="00D74892">
        <w:rPr>
          <w:rFonts w:ascii="Times New Roman" w:hAnsi="Times New Roman"/>
          <w:sz w:val="24"/>
          <w:szCs w:val="24"/>
        </w:rPr>
        <w:t xml:space="preserve">, the City admitted </w:t>
      </w:r>
      <w:r w:rsidR="007746A2">
        <w:rPr>
          <w:rFonts w:ascii="Times New Roman" w:hAnsi="Times New Roman"/>
          <w:sz w:val="24"/>
          <w:szCs w:val="24"/>
        </w:rPr>
        <w:t xml:space="preserve">that it accepted approximately $72,000 in payments from an HDFC after </w:t>
      </w:r>
      <w:r w:rsidR="00613E9B">
        <w:rPr>
          <w:rFonts w:ascii="Times New Roman" w:hAnsi="Times New Roman"/>
          <w:sz w:val="24"/>
          <w:szCs w:val="24"/>
        </w:rPr>
        <w:t xml:space="preserve">a </w:t>
      </w:r>
      <w:r w:rsidR="00294642">
        <w:rPr>
          <w:rFonts w:ascii="Times New Roman" w:hAnsi="Times New Roman"/>
          <w:sz w:val="24"/>
          <w:szCs w:val="24"/>
        </w:rPr>
        <w:t>foreclosure j</w:t>
      </w:r>
      <w:r w:rsidR="007746A2">
        <w:rPr>
          <w:rFonts w:ascii="Times New Roman" w:hAnsi="Times New Roman"/>
          <w:sz w:val="24"/>
          <w:szCs w:val="24"/>
        </w:rPr>
        <w:t xml:space="preserve">udgment </w:t>
      </w:r>
      <w:r w:rsidR="00613E9B">
        <w:rPr>
          <w:rFonts w:ascii="Times New Roman" w:hAnsi="Times New Roman"/>
          <w:sz w:val="24"/>
          <w:szCs w:val="24"/>
        </w:rPr>
        <w:t>was issued</w:t>
      </w:r>
      <w:r w:rsidR="007746A2">
        <w:rPr>
          <w:rFonts w:ascii="Times New Roman" w:hAnsi="Times New Roman"/>
          <w:sz w:val="24"/>
          <w:szCs w:val="24"/>
        </w:rPr>
        <w:t xml:space="preserve"> again</w:t>
      </w:r>
      <w:r w:rsidR="00613E9B">
        <w:rPr>
          <w:rFonts w:ascii="Times New Roman" w:hAnsi="Times New Roman"/>
          <w:sz w:val="24"/>
          <w:szCs w:val="24"/>
        </w:rPr>
        <w:t>st</w:t>
      </w:r>
      <w:r w:rsidR="007746A2">
        <w:rPr>
          <w:rFonts w:ascii="Times New Roman" w:hAnsi="Times New Roman"/>
          <w:sz w:val="24"/>
          <w:szCs w:val="24"/>
        </w:rPr>
        <w:t xml:space="preserve"> the </w:t>
      </w:r>
      <w:r w:rsidR="008C610E">
        <w:rPr>
          <w:rFonts w:ascii="Times New Roman" w:hAnsi="Times New Roman"/>
          <w:sz w:val="24"/>
          <w:szCs w:val="24"/>
        </w:rPr>
        <w:t>property</w:t>
      </w:r>
      <w:r w:rsidR="00613E9B">
        <w:rPr>
          <w:rFonts w:ascii="Times New Roman" w:hAnsi="Times New Roman"/>
          <w:sz w:val="24"/>
          <w:szCs w:val="24"/>
        </w:rPr>
        <w:t>.</w:t>
      </w:r>
      <w:r w:rsidR="00ED1171">
        <w:rPr>
          <w:rStyle w:val="FootnoteReference"/>
          <w:rFonts w:ascii="Times New Roman" w:hAnsi="Times New Roman"/>
          <w:sz w:val="24"/>
          <w:szCs w:val="24"/>
        </w:rPr>
        <w:footnoteReference w:id="66"/>
      </w:r>
      <w:r w:rsidR="00613E9B">
        <w:rPr>
          <w:rFonts w:ascii="Times New Roman" w:hAnsi="Times New Roman"/>
          <w:sz w:val="24"/>
          <w:szCs w:val="24"/>
        </w:rPr>
        <w:t xml:space="preserve"> This amount included</w:t>
      </w:r>
      <w:r w:rsidR="007746A2">
        <w:rPr>
          <w:rFonts w:ascii="Times New Roman" w:hAnsi="Times New Roman"/>
          <w:sz w:val="24"/>
          <w:szCs w:val="24"/>
        </w:rPr>
        <w:t xml:space="preserve"> $21,000 in payments that were made after the HDFC could no longer legally redeem its property.</w:t>
      </w:r>
      <w:r w:rsidR="00BD0BD7">
        <w:rPr>
          <w:rStyle w:val="FootnoteReference"/>
          <w:rFonts w:ascii="Times New Roman" w:hAnsi="Times New Roman"/>
          <w:sz w:val="24"/>
          <w:szCs w:val="24"/>
        </w:rPr>
        <w:footnoteReference w:id="67"/>
      </w:r>
      <w:r w:rsidR="00BD0BD7">
        <w:rPr>
          <w:rFonts w:ascii="Times New Roman" w:hAnsi="Times New Roman"/>
          <w:sz w:val="24"/>
          <w:szCs w:val="24"/>
        </w:rPr>
        <w:t xml:space="preserve"> </w:t>
      </w:r>
      <w:r w:rsidR="007746A2">
        <w:rPr>
          <w:rFonts w:ascii="Times New Roman" w:hAnsi="Times New Roman"/>
          <w:sz w:val="24"/>
          <w:szCs w:val="24"/>
        </w:rPr>
        <w:t xml:space="preserve"> </w:t>
      </w:r>
    </w:p>
    <w:p w:rsidR="00ED1171" w:rsidRDefault="00ED1171" w:rsidP="008331D3">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In light of issues faced by certain homeowners, additional information is needed</w:t>
      </w:r>
      <w:r w:rsidR="00946C70">
        <w:rPr>
          <w:rFonts w:ascii="Times New Roman" w:hAnsi="Times New Roman"/>
          <w:sz w:val="24"/>
          <w:szCs w:val="24"/>
        </w:rPr>
        <w:t xml:space="preserve"> from the City</w:t>
      </w:r>
      <w:r w:rsidR="00303FC0">
        <w:rPr>
          <w:rFonts w:ascii="Times New Roman" w:hAnsi="Times New Roman"/>
          <w:sz w:val="24"/>
          <w:szCs w:val="24"/>
        </w:rPr>
        <w:t xml:space="preserve"> regarding</w:t>
      </w:r>
      <w:r>
        <w:rPr>
          <w:rFonts w:ascii="Times New Roman" w:hAnsi="Times New Roman"/>
          <w:sz w:val="24"/>
          <w:szCs w:val="24"/>
        </w:rPr>
        <w:t xml:space="preserve"> </w:t>
      </w:r>
      <w:r w:rsidR="00477566">
        <w:rPr>
          <w:rFonts w:ascii="Times New Roman" w:hAnsi="Times New Roman"/>
          <w:sz w:val="24"/>
          <w:szCs w:val="24"/>
        </w:rPr>
        <w:t xml:space="preserve">the </w:t>
      </w:r>
      <w:r w:rsidR="00FC409E">
        <w:rPr>
          <w:rFonts w:ascii="Times New Roman" w:hAnsi="Times New Roman"/>
          <w:sz w:val="24"/>
          <w:szCs w:val="24"/>
        </w:rPr>
        <w:t xml:space="preserve">redemption </w:t>
      </w:r>
      <w:r w:rsidR="00477566">
        <w:rPr>
          <w:rFonts w:ascii="Times New Roman" w:hAnsi="Times New Roman"/>
          <w:sz w:val="24"/>
          <w:szCs w:val="24"/>
        </w:rPr>
        <w:t xml:space="preserve">opportunities </w:t>
      </w:r>
      <w:r w:rsidR="00FC409E">
        <w:rPr>
          <w:rFonts w:ascii="Times New Roman" w:hAnsi="Times New Roman"/>
          <w:sz w:val="24"/>
          <w:szCs w:val="24"/>
        </w:rPr>
        <w:t xml:space="preserve">made </w:t>
      </w:r>
      <w:r w:rsidR="00C150F4">
        <w:rPr>
          <w:rFonts w:ascii="Times New Roman" w:hAnsi="Times New Roman"/>
          <w:sz w:val="24"/>
          <w:szCs w:val="24"/>
        </w:rPr>
        <w:t>available to homeowners</w:t>
      </w:r>
      <w:r w:rsidR="00A274B1">
        <w:rPr>
          <w:rFonts w:ascii="Times New Roman" w:hAnsi="Times New Roman"/>
          <w:sz w:val="24"/>
          <w:szCs w:val="24"/>
        </w:rPr>
        <w:t xml:space="preserve"> with properties in TPT</w:t>
      </w:r>
      <w:r w:rsidR="00477566">
        <w:rPr>
          <w:rFonts w:ascii="Times New Roman" w:hAnsi="Times New Roman"/>
          <w:sz w:val="24"/>
          <w:szCs w:val="24"/>
        </w:rPr>
        <w:t>, including the types of installment payment plans offered, the terms of such plans, and the circumstances under which</w:t>
      </w:r>
      <w:r w:rsidR="00C150F4">
        <w:rPr>
          <w:rFonts w:ascii="Times New Roman" w:hAnsi="Times New Roman"/>
          <w:sz w:val="24"/>
          <w:szCs w:val="24"/>
        </w:rPr>
        <w:t xml:space="preserve"> homeowner</w:t>
      </w:r>
      <w:r w:rsidR="00BD0BD7">
        <w:rPr>
          <w:rFonts w:ascii="Times New Roman" w:hAnsi="Times New Roman"/>
          <w:sz w:val="24"/>
          <w:szCs w:val="24"/>
        </w:rPr>
        <w:t>s</w:t>
      </w:r>
      <w:r w:rsidR="00C150F4">
        <w:rPr>
          <w:rFonts w:ascii="Times New Roman" w:hAnsi="Times New Roman"/>
          <w:sz w:val="24"/>
          <w:szCs w:val="24"/>
        </w:rPr>
        <w:t xml:space="preserve"> </w:t>
      </w:r>
      <w:r w:rsidR="006D21EB">
        <w:rPr>
          <w:rFonts w:ascii="Times New Roman" w:hAnsi="Times New Roman"/>
          <w:sz w:val="24"/>
          <w:szCs w:val="24"/>
        </w:rPr>
        <w:t xml:space="preserve">who were </w:t>
      </w:r>
      <w:r w:rsidR="00C150F4">
        <w:rPr>
          <w:rFonts w:ascii="Times New Roman" w:hAnsi="Times New Roman"/>
          <w:sz w:val="24"/>
          <w:szCs w:val="24"/>
        </w:rPr>
        <w:t>mak</w:t>
      </w:r>
      <w:r w:rsidR="006D21EB">
        <w:rPr>
          <w:rFonts w:ascii="Times New Roman" w:hAnsi="Times New Roman"/>
          <w:sz w:val="24"/>
          <w:szCs w:val="24"/>
        </w:rPr>
        <w:t xml:space="preserve">ing </w:t>
      </w:r>
      <w:r w:rsidR="00FC409E">
        <w:rPr>
          <w:rFonts w:ascii="Times New Roman" w:hAnsi="Times New Roman"/>
          <w:sz w:val="24"/>
          <w:szCs w:val="24"/>
        </w:rPr>
        <w:t xml:space="preserve">installment </w:t>
      </w:r>
      <w:r w:rsidR="00C150F4">
        <w:rPr>
          <w:rFonts w:ascii="Times New Roman" w:hAnsi="Times New Roman"/>
          <w:sz w:val="24"/>
          <w:szCs w:val="24"/>
        </w:rPr>
        <w:t xml:space="preserve">payments </w:t>
      </w:r>
      <w:r w:rsidR="00DA24AD">
        <w:rPr>
          <w:rFonts w:ascii="Times New Roman" w:hAnsi="Times New Roman"/>
          <w:sz w:val="24"/>
          <w:szCs w:val="24"/>
        </w:rPr>
        <w:t xml:space="preserve">may have </w:t>
      </w:r>
      <w:r w:rsidR="00C150F4">
        <w:rPr>
          <w:rFonts w:ascii="Times New Roman" w:hAnsi="Times New Roman"/>
          <w:sz w:val="24"/>
          <w:szCs w:val="24"/>
        </w:rPr>
        <w:t>still los</w:t>
      </w:r>
      <w:r w:rsidR="006D21EB">
        <w:rPr>
          <w:rFonts w:ascii="Times New Roman" w:hAnsi="Times New Roman"/>
          <w:sz w:val="24"/>
          <w:szCs w:val="24"/>
        </w:rPr>
        <w:t>t</w:t>
      </w:r>
      <w:r w:rsidR="00C150F4">
        <w:rPr>
          <w:rFonts w:ascii="Times New Roman" w:hAnsi="Times New Roman"/>
          <w:sz w:val="24"/>
          <w:szCs w:val="24"/>
        </w:rPr>
        <w:t xml:space="preserve"> their properties.</w:t>
      </w:r>
      <w:r w:rsidR="00477566">
        <w:rPr>
          <w:rFonts w:ascii="Times New Roman" w:hAnsi="Times New Roman"/>
          <w:sz w:val="24"/>
          <w:szCs w:val="24"/>
        </w:rPr>
        <w:t xml:space="preserve"> </w:t>
      </w:r>
      <w:r>
        <w:rPr>
          <w:rFonts w:ascii="Times New Roman" w:hAnsi="Times New Roman"/>
          <w:sz w:val="24"/>
          <w:szCs w:val="24"/>
        </w:rPr>
        <w:t xml:space="preserve"> </w:t>
      </w:r>
    </w:p>
    <w:p w:rsidR="0047063D" w:rsidRDefault="0047063D" w:rsidP="00353342">
      <w:pPr>
        <w:pStyle w:val="Heading1"/>
        <w:rPr>
          <w:b/>
          <w:i w:val="0"/>
        </w:rPr>
      </w:pPr>
      <w:r w:rsidRPr="00C73F09">
        <w:rPr>
          <w:b/>
          <w:i w:val="0"/>
        </w:rPr>
        <w:t>CONCLUSION</w:t>
      </w:r>
    </w:p>
    <w:p w:rsidR="00903D5A" w:rsidRDefault="001461B8" w:rsidP="00DD6AC7">
      <w:pPr>
        <w:spacing w:after="0" w:line="480" w:lineRule="auto"/>
        <w:ind w:firstLine="720"/>
        <w:jc w:val="both"/>
      </w:pPr>
      <w:r>
        <w:rPr>
          <w:rFonts w:ascii="Times New Roman" w:hAnsi="Times New Roman"/>
          <w:sz w:val="24"/>
          <w:szCs w:val="24"/>
        </w:rPr>
        <w:t>New York</w:t>
      </w:r>
      <w:r w:rsidR="008358AC">
        <w:rPr>
          <w:rFonts w:ascii="Times New Roman" w:hAnsi="Times New Roman"/>
          <w:sz w:val="24"/>
          <w:szCs w:val="24"/>
        </w:rPr>
        <w:t xml:space="preserve"> City</w:t>
      </w:r>
      <w:r w:rsidR="009F7F8C">
        <w:rPr>
          <w:rFonts w:ascii="Times New Roman" w:hAnsi="Times New Roman"/>
          <w:sz w:val="24"/>
          <w:szCs w:val="24"/>
        </w:rPr>
        <w:t xml:space="preserve"> </w:t>
      </w:r>
      <w:r w:rsidR="00F93EBB">
        <w:rPr>
          <w:rFonts w:ascii="Times New Roman" w:hAnsi="Times New Roman"/>
          <w:sz w:val="24"/>
          <w:szCs w:val="24"/>
        </w:rPr>
        <w:t xml:space="preserve">today </w:t>
      </w:r>
      <w:r w:rsidR="009F7F8C">
        <w:rPr>
          <w:rFonts w:ascii="Times New Roman" w:hAnsi="Times New Roman"/>
          <w:sz w:val="24"/>
          <w:szCs w:val="24"/>
        </w:rPr>
        <w:t>is</w:t>
      </w:r>
      <w:r>
        <w:rPr>
          <w:rFonts w:ascii="Times New Roman" w:hAnsi="Times New Roman"/>
          <w:sz w:val="24"/>
          <w:szCs w:val="24"/>
        </w:rPr>
        <w:t xml:space="preserve"> </w:t>
      </w:r>
      <w:r w:rsidRPr="001461B8">
        <w:rPr>
          <w:rFonts w:ascii="Times New Roman" w:hAnsi="Times New Roman"/>
          <w:sz w:val="24"/>
          <w:szCs w:val="24"/>
        </w:rPr>
        <w:t xml:space="preserve">a very different place </w:t>
      </w:r>
      <w:r w:rsidR="00DF3340" w:rsidRPr="001461B8">
        <w:rPr>
          <w:rFonts w:ascii="Times New Roman" w:hAnsi="Times New Roman"/>
          <w:sz w:val="24"/>
          <w:szCs w:val="24"/>
        </w:rPr>
        <w:t>than it was</w:t>
      </w:r>
      <w:r w:rsidR="00DF3340">
        <w:rPr>
          <w:rFonts w:ascii="Times New Roman" w:hAnsi="Times New Roman"/>
          <w:sz w:val="24"/>
          <w:szCs w:val="24"/>
        </w:rPr>
        <w:t xml:space="preserve"> 23 years ago</w:t>
      </w:r>
      <w:r w:rsidR="00DF3340" w:rsidRPr="001461B8">
        <w:rPr>
          <w:rFonts w:ascii="Times New Roman" w:hAnsi="Times New Roman"/>
          <w:sz w:val="24"/>
          <w:szCs w:val="24"/>
        </w:rPr>
        <w:t xml:space="preserve"> </w:t>
      </w:r>
      <w:r w:rsidR="003344DA">
        <w:rPr>
          <w:rFonts w:ascii="Times New Roman" w:hAnsi="Times New Roman"/>
          <w:sz w:val="24"/>
          <w:szCs w:val="24"/>
        </w:rPr>
        <w:t xml:space="preserve">when TPT was </w:t>
      </w:r>
      <w:r w:rsidR="00DF3340">
        <w:rPr>
          <w:rFonts w:ascii="Times New Roman" w:hAnsi="Times New Roman"/>
          <w:sz w:val="24"/>
          <w:szCs w:val="24"/>
        </w:rPr>
        <w:t xml:space="preserve">created, especially </w:t>
      </w:r>
      <w:r w:rsidRPr="001461B8">
        <w:rPr>
          <w:rFonts w:ascii="Times New Roman" w:hAnsi="Times New Roman"/>
          <w:sz w:val="24"/>
          <w:szCs w:val="24"/>
        </w:rPr>
        <w:t>with re</w:t>
      </w:r>
      <w:r w:rsidR="00DF3340">
        <w:rPr>
          <w:rFonts w:ascii="Times New Roman" w:hAnsi="Times New Roman"/>
          <w:sz w:val="24"/>
          <w:szCs w:val="24"/>
        </w:rPr>
        <w:t xml:space="preserve">spect to </w:t>
      </w:r>
      <w:r w:rsidRPr="001461B8">
        <w:rPr>
          <w:rFonts w:ascii="Times New Roman" w:hAnsi="Times New Roman"/>
          <w:sz w:val="24"/>
          <w:szCs w:val="24"/>
        </w:rPr>
        <w:t>housing</w:t>
      </w:r>
      <w:r w:rsidR="00B65B55">
        <w:rPr>
          <w:rFonts w:ascii="Times New Roman" w:hAnsi="Times New Roman"/>
          <w:sz w:val="24"/>
          <w:szCs w:val="24"/>
        </w:rPr>
        <w:t xml:space="preserve"> and economics. </w:t>
      </w:r>
      <w:r w:rsidR="00304970">
        <w:rPr>
          <w:rFonts w:ascii="Times New Roman" w:hAnsi="Times New Roman"/>
          <w:sz w:val="24"/>
          <w:szCs w:val="24"/>
        </w:rPr>
        <w:t>This hearing provides an opportunity to not only evaluate the issues that occurred in connection with the latest round of TPT, but also</w:t>
      </w:r>
      <w:r w:rsidR="008F29EB">
        <w:rPr>
          <w:rFonts w:ascii="Times New Roman" w:hAnsi="Times New Roman"/>
          <w:sz w:val="24"/>
          <w:szCs w:val="24"/>
        </w:rPr>
        <w:t xml:space="preserve"> </w:t>
      </w:r>
      <w:r w:rsidR="00A4130A">
        <w:rPr>
          <w:rFonts w:ascii="Times New Roman" w:hAnsi="Times New Roman"/>
          <w:sz w:val="24"/>
          <w:szCs w:val="24"/>
        </w:rPr>
        <w:t xml:space="preserve">to </w:t>
      </w:r>
      <w:r w:rsidR="008F29EB">
        <w:rPr>
          <w:rFonts w:ascii="Times New Roman" w:hAnsi="Times New Roman"/>
          <w:sz w:val="24"/>
          <w:szCs w:val="24"/>
        </w:rPr>
        <w:t>consider t</w:t>
      </w:r>
      <w:r w:rsidR="00F83F72">
        <w:rPr>
          <w:rFonts w:ascii="Times New Roman" w:hAnsi="Times New Roman"/>
          <w:sz w:val="24"/>
          <w:szCs w:val="24"/>
        </w:rPr>
        <w:t>he viability</w:t>
      </w:r>
      <w:r w:rsidR="00A1697D">
        <w:rPr>
          <w:rFonts w:ascii="Times New Roman" w:hAnsi="Times New Roman"/>
          <w:sz w:val="24"/>
          <w:szCs w:val="24"/>
        </w:rPr>
        <w:t xml:space="preserve"> and purpose</w:t>
      </w:r>
      <w:r w:rsidR="00F83F72">
        <w:rPr>
          <w:rFonts w:ascii="Times New Roman" w:hAnsi="Times New Roman"/>
          <w:sz w:val="24"/>
          <w:szCs w:val="24"/>
        </w:rPr>
        <w:t xml:space="preserve"> of the Program going forward. </w:t>
      </w:r>
      <w:r w:rsidR="00AD7778">
        <w:rPr>
          <w:rFonts w:ascii="Times New Roman" w:hAnsi="Times New Roman"/>
          <w:sz w:val="24"/>
          <w:szCs w:val="24"/>
        </w:rPr>
        <w:t xml:space="preserve"> </w:t>
      </w:r>
    </w:p>
    <w:sectPr w:rsidR="00903D5A" w:rsidSect="00C74E4A">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97E" w:rsidRDefault="0085497E" w:rsidP="0047063D">
      <w:pPr>
        <w:spacing w:after="0" w:line="240" w:lineRule="auto"/>
      </w:pPr>
      <w:r>
        <w:separator/>
      </w:r>
    </w:p>
  </w:endnote>
  <w:endnote w:type="continuationSeparator" w:id="0">
    <w:p w:rsidR="0085497E" w:rsidRDefault="0085497E" w:rsidP="0047063D">
      <w:pPr>
        <w:spacing w:after="0" w:line="240" w:lineRule="auto"/>
      </w:pPr>
      <w:r>
        <w:continuationSeparator/>
      </w:r>
    </w:p>
  </w:endnote>
  <w:endnote w:type="continuationNotice" w:id="1">
    <w:p w:rsidR="0085497E" w:rsidRDefault="008549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085452"/>
      <w:docPartObj>
        <w:docPartGallery w:val="Page Numbers (Bottom of Page)"/>
        <w:docPartUnique/>
      </w:docPartObj>
    </w:sdtPr>
    <w:sdtEndPr>
      <w:rPr>
        <w:rFonts w:ascii="Times New Roman" w:hAnsi="Times New Roman"/>
        <w:noProof/>
      </w:rPr>
    </w:sdtEndPr>
    <w:sdtContent>
      <w:p w:rsidR="00F518DA" w:rsidRPr="00C74E4A" w:rsidRDefault="00F518DA">
        <w:pPr>
          <w:pStyle w:val="Footer"/>
          <w:jc w:val="center"/>
          <w:rPr>
            <w:rFonts w:ascii="Times New Roman" w:hAnsi="Times New Roman"/>
          </w:rPr>
        </w:pPr>
        <w:r w:rsidRPr="00C74E4A">
          <w:rPr>
            <w:rFonts w:ascii="Times New Roman" w:hAnsi="Times New Roman"/>
          </w:rPr>
          <w:fldChar w:fldCharType="begin"/>
        </w:r>
        <w:r w:rsidRPr="00C74E4A">
          <w:rPr>
            <w:rFonts w:ascii="Times New Roman" w:hAnsi="Times New Roman"/>
          </w:rPr>
          <w:instrText xml:space="preserve"> PAGE   \* MERGEFORMAT </w:instrText>
        </w:r>
        <w:r w:rsidRPr="00C74E4A">
          <w:rPr>
            <w:rFonts w:ascii="Times New Roman" w:hAnsi="Times New Roman"/>
          </w:rPr>
          <w:fldChar w:fldCharType="separate"/>
        </w:r>
        <w:r w:rsidR="00D2036A">
          <w:rPr>
            <w:rFonts w:ascii="Times New Roman" w:hAnsi="Times New Roman"/>
            <w:noProof/>
          </w:rPr>
          <w:t>1</w:t>
        </w:r>
        <w:r w:rsidRPr="00C74E4A">
          <w:rPr>
            <w:rFonts w:ascii="Times New Roman" w:hAnsi="Times New Roman"/>
            <w:noProof/>
          </w:rPr>
          <w:fldChar w:fldCharType="end"/>
        </w:r>
      </w:p>
    </w:sdtContent>
  </w:sdt>
  <w:p w:rsidR="00F518DA" w:rsidRDefault="00F51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97E" w:rsidRDefault="0085497E" w:rsidP="0047063D">
      <w:pPr>
        <w:spacing w:after="0" w:line="240" w:lineRule="auto"/>
      </w:pPr>
      <w:r>
        <w:separator/>
      </w:r>
    </w:p>
  </w:footnote>
  <w:footnote w:type="continuationSeparator" w:id="0">
    <w:p w:rsidR="0085497E" w:rsidRDefault="0085497E" w:rsidP="0047063D">
      <w:pPr>
        <w:spacing w:after="0" w:line="240" w:lineRule="auto"/>
      </w:pPr>
      <w:r>
        <w:continuationSeparator/>
      </w:r>
    </w:p>
  </w:footnote>
  <w:footnote w:type="continuationNotice" w:id="1">
    <w:p w:rsidR="0085497E" w:rsidRDefault="0085497E">
      <w:pPr>
        <w:spacing w:after="0" w:line="240" w:lineRule="auto"/>
      </w:pPr>
    </w:p>
  </w:footnote>
  <w:footnote w:id="2">
    <w:p w:rsidR="00F518DA" w:rsidRPr="00672325" w:rsidRDefault="00F518DA" w:rsidP="00193644">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0099062A" w:rsidRPr="00672325">
        <w:rPr>
          <w:rFonts w:ascii="Times New Roman" w:hAnsi="Times New Roman"/>
        </w:rPr>
        <w:t xml:space="preserve">Christopher J. Allred, </w:t>
      </w:r>
      <w:r w:rsidR="0099062A" w:rsidRPr="00672325">
        <w:rPr>
          <w:rFonts w:ascii="Times New Roman" w:hAnsi="Times New Roman"/>
          <w:i/>
        </w:rPr>
        <w:t>Breaking the Cycle of Abandonment: Using a Tax Enforcement Tool to Return Distressed Properties to Sound Private Ownership</w:t>
      </w:r>
      <w:r w:rsidR="0099062A" w:rsidRPr="00672325">
        <w:rPr>
          <w:rFonts w:ascii="Times New Roman" w:hAnsi="Times New Roman"/>
        </w:rPr>
        <w:t xml:space="preserve">, </w:t>
      </w:r>
      <w:r w:rsidR="0099062A" w:rsidRPr="00672325">
        <w:rPr>
          <w:rFonts w:ascii="Times New Roman" w:hAnsi="Times New Roman"/>
          <w:smallCaps/>
        </w:rPr>
        <w:t>Pioneer Institute</w:t>
      </w:r>
      <w:r w:rsidR="0099062A" w:rsidRPr="00672325">
        <w:rPr>
          <w:rFonts w:ascii="Times New Roman" w:hAnsi="Times New Roman"/>
        </w:rPr>
        <w:t xml:space="preserve"> 1-3 (2000), https://www1.nyc.gov/assets/hpd/downloads/pdf/bgc_winner.pdf.</w:t>
      </w:r>
    </w:p>
  </w:footnote>
  <w:footnote w:id="3">
    <w:p w:rsidR="00F518DA" w:rsidRPr="0099062A" w:rsidRDefault="00F518DA" w:rsidP="0099062A">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0099062A" w:rsidRPr="00672325">
        <w:rPr>
          <w:rFonts w:ascii="Times New Roman" w:hAnsi="Times New Roman"/>
          <w:i/>
        </w:rPr>
        <w:t>Id</w:t>
      </w:r>
      <w:r w:rsidR="0099062A" w:rsidRPr="00672325">
        <w:rPr>
          <w:rFonts w:ascii="Times New Roman" w:hAnsi="Times New Roman"/>
        </w:rPr>
        <w:t xml:space="preserve">.  An </w:t>
      </w:r>
      <w:r w:rsidR="0099062A" w:rsidRPr="00672325">
        <w:rPr>
          <w:rFonts w:ascii="Times New Roman" w:hAnsi="Times New Roman"/>
          <w:i/>
        </w:rPr>
        <w:t>in rem</w:t>
      </w:r>
      <w:r w:rsidR="0099062A" w:rsidRPr="00672325">
        <w:rPr>
          <w:rFonts w:ascii="Times New Roman" w:hAnsi="Times New Roman"/>
        </w:rPr>
        <w:t xml:space="preserve"> foreclosure action is the type of legal proceeding that allows the City to take title to a property for non-payment of taxes.  Steven Siegel, </w:t>
      </w:r>
      <w:r w:rsidR="0099062A" w:rsidRPr="00672325">
        <w:rPr>
          <w:rFonts w:ascii="Times New Roman" w:hAnsi="Times New Roman"/>
          <w:i/>
        </w:rPr>
        <w:t>Review and Analysis of the City of New York’s Proposed Changes to the HDFC Program</w:t>
      </w:r>
      <w:r w:rsidR="0099062A" w:rsidRPr="00672325">
        <w:rPr>
          <w:rFonts w:ascii="Times New Roman" w:hAnsi="Times New Roman"/>
        </w:rPr>
        <w:t xml:space="preserve">, </w:t>
      </w:r>
      <w:r w:rsidR="0099062A" w:rsidRPr="00672325">
        <w:rPr>
          <w:rFonts w:ascii="Times New Roman" w:hAnsi="Times New Roman"/>
          <w:smallCaps/>
        </w:rPr>
        <w:t>The HDFC Coalition</w:t>
      </w:r>
      <w:r w:rsidR="0099062A" w:rsidRPr="00672325">
        <w:rPr>
          <w:rFonts w:ascii="Times New Roman" w:hAnsi="Times New Roman"/>
        </w:rPr>
        <w:t xml:space="preserve"> 15, https://www.hdfccoalition.org/wp-content/uploads/2018/01/HDFC-paper-for-HDFC-Coalition-by-Steven-Siegel-12.20.17-Public.pdf.</w:t>
      </w:r>
    </w:p>
  </w:footnote>
  <w:footnote w:id="4">
    <w:p w:rsidR="00F518DA" w:rsidRPr="00672325" w:rsidRDefault="00F518DA">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0099062A" w:rsidRPr="00672325">
        <w:rPr>
          <w:rFonts w:ascii="Times New Roman" w:hAnsi="Times New Roman"/>
        </w:rPr>
        <w:t xml:space="preserve">Christopher J. Allred, </w:t>
      </w:r>
      <w:r w:rsidR="0099062A" w:rsidRPr="00672325">
        <w:rPr>
          <w:rFonts w:ascii="Times New Roman" w:hAnsi="Times New Roman"/>
          <w:i/>
        </w:rPr>
        <w:t>Breaking the Cycle of Abandonment: Using a Tax Enforcement Tool to Return Distressed Properties to Sound Private Ownership</w:t>
      </w:r>
      <w:r w:rsidR="0099062A" w:rsidRPr="00672325">
        <w:rPr>
          <w:rFonts w:ascii="Times New Roman" w:hAnsi="Times New Roman"/>
        </w:rPr>
        <w:t xml:space="preserve">, </w:t>
      </w:r>
      <w:r w:rsidR="0099062A" w:rsidRPr="00672325">
        <w:rPr>
          <w:rFonts w:ascii="Times New Roman" w:hAnsi="Times New Roman"/>
          <w:smallCaps/>
        </w:rPr>
        <w:t>Pioneer Institute</w:t>
      </w:r>
      <w:r w:rsidR="0099062A" w:rsidRPr="00672325">
        <w:rPr>
          <w:rFonts w:ascii="Times New Roman" w:hAnsi="Times New Roman"/>
        </w:rPr>
        <w:t xml:space="preserve"> 1-3 (2000), https://www1.nyc.gov/assets/hpd/downloads/pdf/bgc_winner.pdf.</w:t>
      </w:r>
    </w:p>
  </w:footnote>
  <w:footnote w:id="5">
    <w:p w:rsidR="00F518DA" w:rsidRPr="00672325" w:rsidRDefault="00F518DA" w:rsidP="00193644">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000204CE" w:rsidRPr="00672325">
        <w:rPr>
          <w:rFonts w:ascii="Times New Roman" w:hAnsi="Times New Roman"/>
          <w:i/>
        </w:rPr>
        <w:t>Id.</w:t>
      </w:r>
    </w:p>
  </w:footnote>
  <w:footnote w:id="6">
    <w:p w:rsidR="00F518DA" w:rsidRPr="00672325" w:rsidRDefault="00F518DA" w:rsidP="0099062A">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0099062A" w:rsidRPr="00672325">
        <w:rPr>
          <w:rFonts w:ascii="Times New Roman" w:hAnsi="Times New Roman"/>
          <w:smallCaps/>
        </w:rPr>
        <w:t xml:space="preserve">N.Y.C. Indep. Budget Office, Saving Homes: City Spending on Housing Preservation Grows 6 </w:t>
      </w:r>
      <w:r w:rsidR="0099062A" w:rsidRPr="00672325">
        <w:rPr>
          <w:rFonts w:ascii="Times New Roman" w:hAnsi="Times New Roman"/>
        </w:rPr>
        <w:t>(2003), https://ibo.nyc.ny.us/iboreports/antiabandonment.pdf.</w:t>
      </w:r>
    </w:p>
  </w:footnote>
  <w:footnote w:id="7">
    <w:p w:rsidR="00F518DA" w:rsidRPr="00672325" w:rsidRDefault="00F518DA">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A tax lien is a “lien arising . . . as a result of the nonpayment of taxes, assessments, sewer rents, sewer surcharges, water rents, any other charges . . .”  </w:t>
      </w:r>
      <w:r w:rsidRPr="00672325">
        <w:rPr>
          <w:rFonts w:ascii="Times New Roman" w:hAnsi="Times New Roman"/>
          <w:smallCaps/>
        </w:rPr>
        <w:t>N.Y.C. Admin. Code</w:t>
      </w:r>
      <w:r w:rsidRPr="00672325">
        <w:rPr>
          <w:rFonts w:ascii="Times New Roman" w:hAnsi="Times New Roman"/>
        </w:rPr>
        <w:t xml:space="preserve"> § 11-301.</w:t>
      </w:r>
    </w:p>
  </w:footnote>
  <w:footnote w:id="8">
    <w:p w:rsidR="00F518DA" w:rsidRPr="00672325" w:rsidRDefault="00F518DA" w:rsidP="00B35A2C">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00347F74" w:rsidRPr="00672325">
        <w:rPr>
          <w:rFonts w:ascii="Times New Roman" w:hAnsi="Times New Roman"/>
          <w:smallCaps/>
        </w:rPr>
        <w:t xml:space="preserve">N.Y.C. Dep’t of </w:t>
      </w:r>
      <w:r w:rsidR="00152CBD" w:rsidRPr="00672325">
        <w:rPr>
          <w:rFonts w:ascii="Times New Roman" w:hAnsi="Times New Roman"/>
          <w:smallCaps/>
          <w:shd w:val="clear" w:color="auto" w:fill="FFFFFF"/>
        </w:rPr>
        <w:t>Hous. Pres.&amp; Dev</w:t>
      </w:r>
      <w:r w:rsidR="00C476A3" w:rsidRPr="00672325">
        <w:rPr>
          <w:rFonts w:ascii="Times New Roman" w:hAnsi="Times New Roman"/>
          <w:smallCaps/>
          <w:shd w:val="clear" w:color="auto" w:fill="FFFFFF"/>
        </w:rPr>
        <w:t>.</w:t>
      </w:r>
      <w:r w:rsidR="0011604B" w:rsidRPr="00672325">
        <w:rPr>
          <w:rFonts w:ascii="Times New Roman" w:hAnsi="Times New Roman"/>
        </w:rPr>
        <w:t xml:space="preserve">, </w:t>
      </w:r>
      <w:r w:rsidR="0011604B" w:rsidRPr="00672325">
        <w:rPr>
          <w:rFonts w:ascii="Times New Roman" w:hAnsi="Times New Roman"/>
          <w:smallCaps/>
        </w:rPr>
        <w:t>Request for Qualifications: Third Party Transfer Program Round X, MultiFamily Preservation Loan Programs &amp; Rental Special Projects</w:t>
      </w:r>
      <w:r w:rsidR="0011604B" w:rsidRPr="00672325">
        <w:rPr>
          <w:rFonts w:ascii="Times New Roman" w:hAnsi="Times New Roman"/>
        </w:rPr>
        <w:t xml:space="preserve"> (2017), http://www1.nyc.gov/assets/hpd/downloads/pdf/developers/Round-10-TPT-RFQ.pdf.</w:t>
      </w:r>
    </w:p>
  </w:footnote>
  <w:footnote w:id="9">
    <w:p w:rsidR="00F518DA" w:rsidRPr="0011604B" w:rsidRDefault="00F518DA" w:rsidP="00817BC7">
      <w:pPr>
        <w:spacing w:after="0" w:line="240" w:lineRule="auto"/>
        <w:rPr>
          <w:rFonts w:ascii="Times New Roman" w:eastAsiaTheme="minorHAnsi" w:hAnsi="Times New Roman"/>
          <w:color w:val="1F497D"/>
          <w:sz w:val="20"/>
          <w:szCs w:val="20"/>
        </w:rPr>
      </w:pPr>
      <w:r w:rsidRPr="00672325">
        <w:rPr>
          <w:rStyle w:val="FootnoteReference"/>
          <w:rFonts w:ascii="Times New Roman" w:hAnsi="Times New Roman"/>
          <w:sz w:val="20"/>
          <w:szCs w:val="20"/>
        </w:rPr>
        <w:footnoteRef/>
      </w:r>
      <w:r w:rsidRPr="00672325">
        <w:rPr>
          <w:rFonts w:ascii="Times New Roman" w:hAnsi="Times New Roman"/>
          <w:sz w:val="20"/>
          <w:szCs w:val="20"/>
        </w:rPr>
        <w:t xml:space="preserve"> </w:t>
      </w:r>
      <w:r w:rsidR="0011604B" w:rsidRPr="00672325">
        <w:rPr>
          <w:rFonts w:ascii="Times New Roman" w:hAnsi="Times New Roman"/>
          <w:i/>
          <w:sz w:val="20"/>
          <w:szCs w:val="20"/>
        </w:rPr>
        <w:t xml:space="preserve">See e.g., </w:t>
      </w:r>
      <w:r w:rsidR="0011604B" w:rsidRPr="00672325">
        <w:rPr>
          <w:rFonts w:ascii="Times New Roman" w:hAnsi="Times New Roman"/>
          <w:sz w:val="20"/>
          <w:szCs w:val="20"/>
        </w:rPr>
        <w:t xml:space="preserve">Joe Mauceri </w:t>
      </w:r>
      <w:r w:rsidR="0011604B" w:rsidRPr="00672325">
        <w:rPr>
          <w:rFonts w:ascii="Times New Roman" w:hAnsi="Times New Roman"/>
          <w:i/>
          <w:sz w:val="20"/>
          <w:szCs w:val="20"/>
        </w:rPr>
        <w:t xml:space="preserve"> New Yorkers in debt losing their homes as part of program designed to preserve quality affordable housing</w:t>
      </w:r>
      <w:r w:rsidR="0011604B" w:rsidRPr="00672325">
        <w:rPr>
          <w:rFonts w:ascii="Times New Roman" w:hAnsi="Times New Roman"/>
          <w:sz w:val="20"/>
          <w:szCs w:val="20"/>
        </w:rPr>
        <w:t xml:space="preserve">, </w:t>
      </w:r>
      <w:r w:rsidR="0011604B" w:rsidRPr="00672325">
        <w:rPr>
          <w:rFonts w:ascii="Times New Roman" w:hAnsi="Times New Roman"/>
          <w:smallCaps/>
          <w:sz w:val="20"/>
          <w:szCs w:val="20"/>
        </w:rPr>
        <w:t>PIX11</w:t>
      </w:r>
      <w:r w:rsidR="0011604B" w:rsidRPr="00672325">
        <w:rPr>
          <w:rFonts w:ascii="Times New Roman" w:hAnsi="Times New Roman"/>
          <w:i/>
          <w:sz w:val="20"/>
          <w:szCs w:val="20"/>
        </w:rPr>
        <w:t xml:space="preserve"> </w:t>
      </w:r>
      <w:r w:rsidR="0011604B" w:rsidRPr="00672325">
        <w:rPr>
          <w:rFonts w:ascii="Times New Roman" w:hAnsi="Times New Roman"/>
          <w:sz w:val="20"/>
          <w:szCs w:val="20"/>
        </w:rPr>
        <w:t xml:space="preserve">(December 12, 2018, 6:00 PM), https://pix11.com/2018/12/11/new-yorkers-in-debt-losing-their-homes-as-part-of-program-designed-to-preserve-quality-affordable-housing/; </w:t>
      </w:r>
      <w:r w:rsidR="0011604B" w:rsidRPr="00672325">
        <w:rPr>
          <w:rFonts w:ascii="Times New Roman" w:hAnsi="Times New Roman"/>
          <w:smallCaps/>
          <w:sz w:val="20"/>
          <w:szCs w:val="20"/>
        </w:rPr>
        <w:t>N.Y.C. Council</w:t>
      </w:r>
      <w:r w:rsidR="0011604B" w:rsidRPr="00672325">
        <w:rPr>
          <w:rFonts w:ascii="Times New Roman" w:hAnsi="Times New Roman"/>
          <w:sz w:val="20"/>
          <w:szCs w:val="20"/>
        </w:rPr>
        <w:t xml:space="preserve">, </w:t>
      </w:r>
      <w:r w:rsidR="0011604B" w:rsidRPr="00672325">
        <w:rPr>
          <w:rFonts w:ascii="Times New Roman" w:hAnsi="Times New Roman"/>
          <w:i/>
          <w:sz w:val="20"/>
          <w:szCs w:val="20"/>
        </w:rPr>
        <w:t xml:space="preserve">City Council Housing Chair Expresses Concern Over Mayor’s Plan to Expand Seizure of Private Residential Properties </w:t>
      </w:r>
      <w:r w:rsidR="0011604B" w:rsidRPr="00672325">
        <w:rPr>
          <w:rFonts w:ascii="Times New Roman" w:hAnsi="Times New Roman"/>
          <w:sz w:val="20"/>
          <w:szCs w:val="20"/>
        </w:rPr>
        <w:t>(January 10, 2019), https://council.nyc.gov/robert-cornegy/2019/01/10/housing-chair-concerned-by-expansion-of-property-seizures/.</w:t>
      </w:r>
    </w:p>
  </w:footnote>
  <w:footnote w:id="10">
    <w:p w:rsidR="00F518DA" w:rsidRPr="00672325" w:rsidRDefault="00F518DA" w:rsidP="00817BC7">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007A7FDB">
        <w:rPr>
          <w:rFonts w:ascii="Times New Roman" w:hAnsi="Times New Roman"/>
          <w:i/>
        </w:rPr>
        <w:t>See</w:t>
      </w:r>
      <w:r w:rsidR="0011604B" w:rsidRPr="00672325">
        <w:rPr>
          <w:rFonts w:ascii="Times New Roman" w:hAnsi="Times New Roman"/>
          <w:i/>
        </w:rPr>
        <w:t xml:space="preserve"> e.g., In Rem Tax Foreclosure Action No. 53, </w:t>
      </w:r>
      <w:r w:rsidR="0011604B" w:rsidRPr="00672325">
        <w:rPr>
          <w:rFonts w:ascii="Times New Roman" w:hAnsi="Times New Roman"/>
        </w:rPr>
        <w:t>Index No. 8700/15, slip op. at 8-12 (N.Y. Sup. Ct. Mar. 28, 2019).</w:t>
      </w:r>
    </w:p>
  </w:footnote>
  <w:footnote w:id="11">
    <w:p w:rsidR="00F518DA" w:rsidRPr="00672325" w:rsidRDefault="00F518DA" w:rsidP="00193644">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Specifically, the Administrative Code states that class one and class two properties with unpaid taxes can be subject to foreclosure.  </w:t>
      </w:r>
      <w:r w:rsidRPr="00672325">
        <w:rPr>
          <w:rFonts w:ascii="Times New Roman" w:hAnsi="Times New Roman"/>
          <w:smallCaps/>
        </w:rPr>
        <w:t>N.Y.C. Admin. Code</w:t>
      </w:r>
      <w:r w:rsidRPr="00672325">
        <w:rPr>
          <w:rFonts w:ascii="Times New Roman" w:hAnsi="Times New Roman"/>
        </w:rPr>
        <w:t xml:space="preserve"> §§ 11-401(3); 11-404.  Class one properties include “most residential property of up to three units and most condominiums that are not more than three stories,” whereas class two properties are comprised of “[a]ll other property that is not in Class [one] and is primarily residential.”  </w:t>
      </w:r>
      <w:r w:rsidR="002B7623" w:rsidRPr="00672325">
        <w:rPr>
          <w:rFonts w:ascii="Times New Roman" w:hAnsi="Times New Roman"/>
          <w:smallCaps/>
        </w:rPr>
        <w:t>N.Y.C. Dep’t of Fin</w:t>
      </w:r>
      <w:r w:rsidR="002B7623" w:rsidRPr="00672325">
        <w:rPr>
          <w:rStyle w:val="Hyperlink"/>
          <w:rFonts w:ascii="Times New Roman" w:hAnsi="Times New Roman"/>
          <w:color w:val="auto"/>
          <w:u w:val="none"/>
        </w:rPr>
        <w:t xml:space="preserve">., https://www1.nyc.gov/site/finance/taxes/definitions-of-property-assessment-terms.page </w:t>
      </w:r>
      <w:r w:rsidR="002B7623" w:rsidRPr="00672325">
        <w:rPr>
          <w:rFonts w:ascii="Times New Roman" w:hAnsi="Times New Roman"/>
        </w:rPr>
        <w:t>(last visited May 24, 2019)</w:t>
      </w:r>
      <w:r w:rsidRPr="00672325">
        <w:rPr>
          <w:rStyle w:val="Hyperlink"/>
          <w:rFonts w:ascii="Times New Roman" w:hAnsi="Times New Roman"/>
          <w:color w:val="auto"/>
          <w:u w:val="none"/>
        </w:rPr>
        <w:t>.</w:t>
      </w:r>
      <w:r w:rsidRPr="00672325">
        <w:rPr>
          <w:rFonts w:ascii="Times New Roman" w:hAnsi="Times New Roman"/>
        </w:rPr>
        <w:t xml:space="preserve">  </w:t>
      </w:r>
    </w:p>
  </w:footnote>
  <w:footnote w:id="12">
    <w:p w:rsidR="00F518DA" w:rsidRPr="00672325" w:rsidRDefault="00F518DA" w:rsidP="00193644">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Pr="00672325">
        <w:rPr>
          <w:rFonts w:ascii="Times New Roman" w:hAnsi="Times New Roman"/>
          <w:smallCaps/>
        </w:rPr>
        <w:t>N.Y.C. Admin. Code</w:t>
      </w:r>
      <w:r w:rsidRPr="00672325">
        <w:rPr>
          <w:rFonts w:ascii="Times New Roman" w:hAnsi="Times New Roman"/>
        </w:rPr>
        <w:t xml:space="preserve"> § 11-404.</w:t>
      </w:r>
    </w:p>
  </w:footnote>
  <w:footnote w:id="13">
    <w:p w:rsidR="007B4E1B" w:rsidRPr="00672325" w:rsidRDefault="007B4E1B">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00FA233F" w:rsidRPr="00672325">
        <w:rPr>
          <w:rFonts w:ascii="Times New Roman" w:hAnsi="Times New Roman"/>
        </w:rPr>
        <w:t xml:space="preserve">“How a Property Can End Up in TPT,” document attached to an email from </w:t>
      </w:r>
      <w:r w:rsidR="00DD6AC7" w:rsidRPr="00672325">
        <w:rPr>
          <w:rFonts w:ascii="Times New Roman" w:hAnsi="Times New Roman"/>
        </w:rPr>
        <w:t xml:space="preserve">N.Y.C. Dep’t of Hous. Pres. &amp; Dev. </w:t>
      </w:r>
      <w:r w:rsidR="00FA233F" w:rsidRPr="00672325">
        <w:rPr>
          <w:rFonts w:ascii="Times New Roman" w:hAnsi="Times New Roman"/>
        </w:rPr>
        <w:t xml:space="preserve">to the </w:t>
      </w:r>
      <w:r w:rsidR="00DD6AC7" w:rsidRPr="00672325">
        <w:rPr>
          <w:rFonts w:ascii="Times New Roman" w:hAnsi="Times New Roman"/>
        </w:rPr>
        <w:t xml:space="preserve">N.Y.C. </w:t>
      </w:r>
      <w:r w:rsidR="00FA233F" w:rsidRPr="00672325">
        <w:rPr>
          <w:rFonts w:ascii="Times New Roman" w:hAnsi="Times New Roman"/>
        </w:rPr>
        <w:t>Council (Oct. 26, 2018 3:27 PM). On file with the Council.</w:t>
      </w:r>
    </w:p>
  </w:footnote>
  <w:footnote w:id="14">
    <w:p w:rsidR="00F518DA" w:rsidRPr="00672325" w:rsidRDefault="00F518DA">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According to HPD’s website, “r</w:t>
      </w:r>
      <w:r w:rsidRPr="00672325">
        <w:rPr>
          <w:rFonts w:ascii="Times New Roman" w:hAnsi="Times New Roman"/>
          <w:shd w:val="clear" w:color="auto" w:fill="FFFFFF"/>
        </w:rPr>
        <w:t xml:space="preserve">esidential buildings in severe distress, or at risk of becoming distressed, may be subject to one or more of the following Housing Quality Enforcement Programs.” These programs include </w:t>
      </w:r>
      <w:r w:rsidR="003F6CA8" w:rsidRPr="00672325">
        <w:rPr>
          <w:rFonts w:ascii="Times New Roman" w:hAnsi="Times New Roman"/>
          <w:shd w:val="clear" w:color="auto" w:fill="FFFFFF"/>
        </w:rPr>
        <w:t xml:space="preserve">the </w:t>
      </w:r>
      <w:r w:rsidRPr="00672325">
        <w:rPr>
          <w:rFonts w:ascii="Times New Roman" w:hAnsi="Times New Roman"/>
          <w:shd w:val="clear" w:color="auto" w:fill="FFFFFF"/>
        </w:rPr>
        <w:t xml:space="preserve">7A Management Program, </w:t>
      </w:r>
      <w:r w:rsidR="003F6CA8" w:rsidRPr="00672325">
        <w:rPr>
          <w:rFonts w:ascii="Times New Roman" w:hAnsi="Times New Roman"/>
          <w:shd w:val="clear" w:color="auto" w:fill="FFFFFF"/>
        </w:rPr>
        <w:t xml:space="preserve">the </w:t>
      </w:r>
      <w:r w:rsidRPr="00672325">
        <w:rPr>
          <w:rFonts w:ascii="Times New Roman" w:hAnsi="Times New Roman"/>
          <w:shd w:val="clear" w:color="auto" w:fill="FFFFFF"/>
        </w:rPr>
        <w:t>Alternative Enforcement Program (</w:t>
      </w:r>
      <w:r w:rsidR="007B4E1B" w:rsidRPr="00672325">
        <w:rPr>
          <w:rFonts w:ascii="Times New Roman" w:hAnsi="Times New Roman"/>
          <w:shd w:val="clear" w:color="auto" w:fill="FFFFFF"/>
        </w:rPr>
        <w:t>“</w:t>
      </w:r>
      <w:r w:rsidRPr="00672325">
        <w:rPr>
          <w:rFonts w:ascii="Times New Roman" w:hAnsi="Times New Roman"/>
          <w:shd w:val="clear" w:color="auto" w:fill="FFFFFF"/>
        </w:rPr>
        <w:t>AEP</w:t>
      </w:r>
      <w:r w:rsidR="007B4E1B" w:rsidRPr="00672325">
        <w:rPr>
          <w:rFonts w:ascii="Times New Roman" w:hAnsi="Times New Roman"/>
          <w:shd w:val="clear" w:color="auto" w:fill="FFFFFF"/>
        </w:rPr>
        <w:t>”</w:t>
      </w:r>
      <w:r w:rsidRPr="00672325">
        <w:rPr>
          <w:rFonts w:ascii="Times New Roman" w:hAnsi="Times New Roman"/>
          <w:shd w:val="clear" w:color="auto" w:fill="FFFFFF"/>
        </w:rPr>
        <w:t xml:space="preserve">), and </w:t>
      </w:r>
      <w:r w:rsidR="003F6CA8" w:rsidRPr="00672325">
        <w:rPr>
          <w:rFonts w:ascii="Times New Roman" w:hAnsi="Times New Roman"/>
          <w:shd w:val="clear" w:color="auto" w:fill="FFFFFF"/>
        </w:rPr>
        <w:t xml:space="preserve">the </w:t>
      </w:r>
      <w:r w:rsidRPr="00672325">
        <w:rPr>
          <w:rFonts w:ascii="Times New Roman" w:hAnsi="Times New Roman"/>
          <w:shd w:val="clear" w:color="auto" w:fill="FFFFFF"/>
        </w:rPr>
        <w:t>Emergency Repair Program (</w:t>
      </w:r>
      <w:r w:rsidR="007B4E1B" w:rsidRPr="00672325">
        <w:rPr>
          <w:rFonts w:ascii="Times New Roman" w:hAnsi="Times New Roman"/>
          <w:shd w:val="clear" w:color="auto" w:fill="FFFFFF"/>
        </w:rPr>
        <w:t>“</w:t>
      </w:r>
      <w:r w:rsidRPr="00672325">
        <w:rPr>
          <w:rFonts w:ascii="Times New Roman" w:hAnsi="Times New Roman"/>
          <w:shd w:val="clear" w:color="auto" w:fill="FFFFFF"/>
        </w:rPr>
        <w:t>ERP</w:t>
      </w:r>
      <w:r w:rsidR="007B4E1B" w:rsidRPr="00672325">
        <w:rPr>
          <w:rFonts w:ascii="Times New Roman" w:hAnsi="Times New Roman"/>
          <w:shd w:val="clear" w:color="auto" w:fill="FFFFFF"/>
        </w:rPr>
        <w:t>”</w:t>
      </w:r>
      <w:r w:rsidRPr="00672325">
        <w:rPr>
          <w:rFonts w:ascii="Times New Roman" w:hAnsi="Times New Roman"/>
          <w:shd w:val="clear" w:color="auto" w:fill="FFFFFF"/>
        </w:rPr>
        <w:t>).</w:t>
      </w:r>
      <w:r w:rsidR="0011604B" w:rsidRPr="00672325">
        <w:rPr>
          <w:rFonts w:ascii="Times New Roman" w:hAnsi="Times New Roman"/>
          <w:shd w:val="clear" w:color="auto" w:fill="FFFFFF"/>
        </w:rPr>
        <w:t xml:space="preserve">  </w:t>
      </w:r>
      <w:r w:rsidR="00347F74" w:rsidRPr="00672325">
        <w:rPr>
          <w:rFonts w:ascii="Times New Roman" w:hAnsi="Times New Roman"/>
          <w:smallCaps/>
        </w:rPr>
        <w:t xml:space="preserve">N.Y.C. Dep’t of </w:t>
      </w:r>
      <w:r w:rsidR="0011604B" w:rsidRPr="00672325">
        <w:rPr>
          <w:rFonts w:ascii="Times New Roman" w:hAnsi="Times New Roman"/>
          <w:smallCaps/>
          <w:shd w:val="clear" w:color="auto" w:fill="FFFFFF"/>
        </w:rPr>
        <w:t>Hous. Pres.</w:t>
      </w:r>
      <w:r w:rsidR="00DD6AC7" w:rsidRPr="00672325">
        <w:rPr>
          <w:rFonts w:ascii="Times New Roman" w:hAnsi="Times New Roman"/>
          <w:smallCaps/>
          <w:shd w:val="clear" w:color="auto" w:fill="FFFFFF"/>
        </w:rPr>
        <w:t xml:space="preserve"> </w:t>
      </w:r>
      <w:r w:rsidR="0011604B" w:rsidRPr="00672325">
        <w:rPr>
          <w:rFonts w:ascii="Times New Roman" w:hAnsi="Times New Roman"/>
          <w:smallCaps/>
          <w:shd w:val="clear" w:color="auto" w:fill="FFFFFF"/>
        </w:rPr>
        <w:t>&amp; Dev.,</w:t>
      </w:r>
      <w:r w:rsidRPr="00672325">
        <w:rPr>
          <w:rFonts w:ascii="Times New Roman" w:hAnsi="Times New Roman"/>
          <w:smallCaps/>
          <w:shd w:val="clear" w:color="auto" w:fill="FFFFFF"/>
        </w:rPr>
        <w:t xml:space="preserve"> </w:t>
      </w:r>
      <w:r w:rsidR="0011604B" w:rsidRPr="00672325">
        <w:rPr>
          <w:rFonts w:ascii="Times New Roman" w:hAnsi="Times New Roman"/>
        </w:rPr>
        <w:t>https://www1.nyc.gov/site/hpd/owners/compliance-housing-quality-enforcement-programs.page (last visited May 24, 2019).</w:t>
      </w:r>
    </w:p>
  </w:footnote>
  <w:footnote w:id="15">
    <w:p w:rsidR="00F518DA" w:rsidRPr="00782231" w:rsidRDefault="00F518DA" w:rsidP="0022584C">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00464D41" w:rsidRPr="00672325">
        <w:rPr>
          <w:rFonts w:ascii="Times New Roman" w:hAnsi="Times New Roman"/>
        </w:rPr>
        <w:t xml:space="preserve">“How a Property Can End Up in TPT,” </w:t>
      </w:r>
      <w:r w:rsidR="00194120" w:rsidRPr="00672325">
        <w:rPr>
          <w:rFonts w:ascii="Times New Roman" w:hAnsi="Times New Roman"/>
        </w:rPr>
        <w:t xml:space="preserve">document </w:t>
      </w:r>
      <w:r w:rsidR="00464D41" w:rsidRPr="00672325">
        <w:rPr>
          <w:rFonts w:ascii="Times New Roman" w:hAnsi="Times New Roman"/>
        </w:rPr>
        <w:t>a</w:t>
      </w:r>
      <w:r w:rsidR="00194120" w:rsidRPr="00672325">
        <w:rPr>
          <w:rFonts w:ascii="Times New Roman" w:hAnsi="Times New Roman"/>
        </w:rPr>
        <w:t>ttached</w:t>
      </w:r>
      <w:r w:rsidR="00464D41" w:rsidRPr="00672325">
        <w:rPr>
          <w:rFonts w:ascii="Times New Roman" w:hAnsi="Times New Roman"/>
        </w:rPr>
        <w:t xml:space="preserve"> to </w:t>
      </w:r>
      <w:r w:rsidR="007B4E1B" w:rsidRPr="00672325">
        <w:rPr>
          <w:rFonts w:ascii="Times New Roman" w:hAnsi="Times New Roman"/>
        </w:rPr>
        <w:t xml:space="preserve">an </w:t>
      </w:r>
      <w:r w:rsidR="00464D41" w:rsidRPr="00672325">
        <w:rPr>
          <w:rFonts w:ascii="Times New Roman" w:hAnsi="Times New Roman"/>
        </w:rPr>
        <w:t>email from</w:t>
      </w:r>
      <w:r w:rsidR="00DD6AC7" w:rsidRPr="00672325">
        <w:rPr>
          <w:rFonts w:ascii="Times New Roman" w:hAnsi="Times New Roman"/>
        </w:rPr>
        <w:t xml:space="preserve"> N.Y.C. Dep’t of Hous. Pres. &amp; Dev. to the N.Y.C. Council </w:t>
      </w:r>
      <w:r w:rsidR="00357915" w:rsidRPr="00672325">
        <w:rPr>
          <w:rFonts w:ascii="Times New Roman" w:hAnsi="Times New Roman"/>
        </w:rPr>
        <w:t xml:space="preserve">(Oct. 26, 2018 3:27 </w:t>
      </w:r>
      <w:r w:rsidR="0047657A" w:rsidRPr="00672325">
        <w:rPr>
          <w:rFonts w:ascii="Times New Roman" w:hAnsi="Times New Roman"/>
        </w:rPr>
        <w:t xml:space="preserve">PM). </w:t>
      </w:r>
      <w:r w:rsidR="006C43A0" w:rsidRPr="00672325">
        <w:rPr>
          <w:rFonts w:ascii="Times New Roman" w:hAnsi="Times New Roman"/>
        </w:rPr>
        <w:t xml:space="preserve">On </w:t>
      </w:r>
      <w:r w:rsidRPr="00672325">
        <w:rPr>
          <w:rFonts w:ascii="Times New Roman" w:hAnsi="Times New Roman"/>
        </w:rPr>
        <w:t>file with the Council.</w:t>
      </w:r>
    </w:p>
  </w:footnote>
  <w:footnote w:id="16">
    <w:p w:rsidR="00F518DA" w:rsidRPr="00672325" w:rsidRDefault="00F518DA">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Class B violations are considered “hazardous, such as public area doors not self-closing, inadequate lighting</w:t>
      </w:r>
      <w:r w:rsidR="00981550" w:rsidRPr="00672325">
        <w:rPr>
          <w:rFonts w:ascii="Times New Roman" w:hAnsi="Times New Roman"/>
        </w:rPr>
        <w:t xml:space="preserve"> in public areas, or vermin.</w:t>
      </w:r>
      <w:r w:rsidR="00C068CB" w:rsidRPr="00672325">
        <w:rPr>
          <w:rFonts w:ascii="Times New Roman" w:hAnsi="Times New Roman"/>
        </w:rPr>
        <w:t>”</w:t>
      </w:r>
      <w:r w:rsidR="00981550" w:rsidRPr="00672325">
        <w:rPr>
          <w:rFonts w:ascii="Times New Roman" w:hAnsi="Times New Roman"/>
        </w:rPr>
        <w:t xml:space="preserve"> </w:t>
      </w:r>
      <w:r w:rsidR="00C45FF9" w:rsidRPr="00672325">
        <w:rPr>
          <w:rFonts w:ascii="Times New Roman" w:hAnsi="Times New Roman"/>
          <w:smallCaps/>
          <w:shd w:val="clear" w:color="auto" w:fill="FFFFFF"/>
        </w:rPr>
        <w:t xml:space="preserve">N.Y.C. </w:t>
      </w:r>
      <w:r w:rsidR="00152CBD" w:rsidRPr="00672325">
        <w:rPr>
          <w:rFonts w:ascii="Times New Roman" w:hAnsi="Times New Roman"/>
          <w:smallCaps/>
          <w:shd w:val="clear" w:color="auto" w:fill="FFFFFF"/>
        </w:rPr>
        <w:t xml:space="preserve">Dep’t of </w:t>
      </w:r>
      <w:r w:rsidR="00C45FF9" w:rsidRPr="00672325">
        <w:rPr>
          <w:rFonts w:ascii="Times New Roman" w:hAnsi="Times New Roman"/>
          <w:smallCaps/>
          <w:shd w:val="clear" w:color="auto" w:fill="FFFFFF"/>
        </w:rPr>
        <w:t xml:space="preserve">Hous. Pres.&amp; Dev.,  </w:t>
      </w:r>
      <w:r w:rsidR="002B7623" w:rsidRPr="00672325">
        <w:rPr>
          <w:rFonts w:ascii="Times New Roman" w:hAnsi="Times New Roman"/>
        </w:rPr>
        <w:t>https://hpdonline.hpdnyc.org/HPDonline/help_glossary.aspx (last visited May 24, 2019).</w:t>
      </w:r>
      <w:r w:rsidRPr="00672325">
        <w:rPr>
          <w:rFonts w:ascii="Times New Roman" w:hAnsi="Times New Roman"/>
        </w:rPr>
        <w:t xml:space="preserve"> </w:t>
      </w:r>
    </w:p>
  </w:footnote>
  <w:footnote w:id="17">
    <w:p w:rsidR="00F518DA" w:rsidRPr="00672325" w:rsidRDefault="00F518DA" w:rsidP="002B7623">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Class C violations are considered “immediately hazardous, such as inadequate fire exits, rodents, lead-based paint, lack of heat, hot water, electricity, or gas.</w:t>
      </w:r>
      <w:r w:rsidR="00981550" w:rsidRPr="00672325">
        <w:rPr>
          <w:rFonts w:ascii="Times New Roman" w:hAnsi="Times New Roman"/>
        </w:rPr>
        <w:t>”</w:t>
      </w:r>
      <w:r w:rsidRPr="00672325">
        <w:rPr>
          <w:rFonts w:ascii="Times New Roman" w:hAnsi="Times New Roman"/>
        </w:rPr>
        <w:t xml:space="preserve"> </w:t>
      </w:r>
      <w:r w:rsidR="002B7623" w:rsidRPr="00672325">
        <w:rPr>
          <w:rFonts w:ascii="Times New Roman" w:hAnsi="Times New Roman"/>
          <w:smallCaps/>
          <w:shd w:val="clear" w:color="auto" w:fill="FFFFFF"/>
        </w:rPr>
        <w:t xml:space="preserve">N.Y.C. </w:t>
      </w:r>
      <w:r w:rsidR="009658CF" w:rsidRPr="00672325">
        <w:rPr>
          <w:rFonts w:ascii="Times New Roman" w:hAnsi="Times New Roman"/>
          <w:smallCaps/>
          <w:shd w:val="clear" w:color="auto" w:fill="FFFFFF"/>
        </w:rPr>
        <w:t xml:space="preserve">Dep’t of </w:t>
      </w:r>
      <w:r w:rsidR="002B7623" w:rsidRPr="00672325">
        <w:rPr>
          <w:rFonts w:ascii="Times New Roman" w:hAnsi="Times New Roman"/>
          <w:smallCaps/>
          <w:shd w:val="clear" w:color="auto" w:fill="FFFFFF"/>
        </w:rPr>
        <w:t xml:space="preserve">Hous. Pres.&amp; Dev.,  </w:t>
      </w:r>
      <w:r w:rsidR="002B7623" w:rsidRPr="00672325">
        <w:rPr>
          <w:rFonts w:ascii="Times New Roman" w:hAnsi="Times New Roman"/>
        </w:rPr>
        <w:t>https://hpdonline.hpdnyc.org/HPDonline/help_glossary.aspx (last visited May 24, 2019).</w:t>
      </w:r>
    </w:p>
  </w:footnote>
  <w:footnote w:id="18">
    <w:p w:rsidR="00F518DA" w:rsidRPr="00672325" w:rsidRDefault="00F518DA" w:rsidP="00193644">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Pr="00672325">
        <w:rPr>
          <w:rFonts w:ascii="Times New Roman" w:hAnsi="Times New Roman"/>
          <w:smallCaps/>
        </w:rPr>
        <w:t>N.Y.C. Admin. Code</w:t>
      </w:r>
      <w:r w:rsidRPr="00672325">
        <w:rPr>
          <w:rFonts w:ascii="Times New Roman" w:hAnsi="Times New Roman"/>
        </w:rPr>
        <w:t xml:space="preserve"> § 11-401(4).</w:t>
      </w:r>
      <w:r w:rsidR="00333C54" w:rsidRPr="00672325">
        <w:rPr>
          <w:rFonts w:ascii="Times New Roman" w:hAnsi="Times New Roman"/>
        </w:rPr>
        <w:t xml:space="preserve">  As of May 1, 2019, the statutory definition of </w:t>
      </w:r>
      <w:r w:rsidR="00945004" w:rsidRPr="00672325">
        <w:rPr>
          <w:rFonts w:ascii="Times New Roman" w:hAnsi="Times New Roman"/>
        </w:rPr>
        <w:t>“</w:t>
      </w:r>
      <w:r w:rsidR="00333C54" w:rsidRPr="00672325">
        <w:rPr>
          <w:rFonts w:ascii="Times New Roman" w:hAnsi="Times New Roman"/>
        </w:rPr>
        <w:t>distressed</w:t>
      </w:r>
      <w:r w:rsidR="00945004" w:rsidRPr="00672325">
        <w:rPr>
          <w:rFonts w:ascii="Times New Roman" w:hAnsi="Times New Roman"/>
        </w:rPr>
        <w:t>”</w:t>
      </w:r>
      <w:r w:rsidR="00DD6AC7" w:rsidRPr="00672325">
        <w:rPr>
          <w:rFonts w:ascii="Times New Roman" w:hAnsi="Times New Roman"/>
        </w:rPr>
        <w:t xml:space="preserve"> was expanded to include “[a]</w:t>
      </w:r>
      <w:r w:rsidR="00333C54" w:rsidRPr="00672325">
        <w:rPr>
          <w:rFonts w:ascii="Times New Roman" w:hAnsi="Times New Roman"/>
        </w:rPr>
        <w:t xml:space="preserve">ny parcel of class one or class two real property that is subject to a tax lien or liens that result from an environmental control board judgment against the owner of such parcel for a building code violation with a lien or liens to value ratio . . . equal to </w:t>
      </w:r>
      <w:r w:rsidR="00945004" w:rsidRPr="00672325">
        <w:rPr>
          <w:rFonts w:ascii="Times New Roman" w:hAnsi="Times New Roman"/>
        </w:rPr>
        <w:t>or greater than 25 percent.</w:t>
      </w:r>
      <w:r w:rsidR="00333C54" w:rsidRPr="00672325">
        <w:rPr>
          <w:rFonts w:ascii="Times New Roman" w:hAnsi="Times New Roman"/>
        </w:rPr>
        <w:t xml:space="preserve">” </w:t>
      </w:r>
      <w:r w:rsidR="00333C54" w:rsidRPr="00672325">
        <w:rPr>
          <w:rFonts w:ascii="Times New Roman" w:hAnsi="Times New Roman"/>
          <w:smallCaps/>
        </w:rPr>
        <w:t>Local Law</w:t>
      </w:r>
      <w:r w:rsidR="00333C54" w:rsidRPr="00672325">
        <w:rPr>
          <w:rFonts w:ascii="Times New Roman" w:hAnsi="Times New Roman"/>
        </w:rPr>
        <w:t xml:space="preserve"> 152 (2017)</w:t>
      </w:r>
      <w:r w:rsidR="007E1F8D" w:rsidRPr="00672325">
        <w:rPr>
          <w:rFonts w:ascii="Times New Roman" w:hAnsi="Times New Roman"/>
        </w:rPr>
        <w:t xml:space="preserve">, </w:t>
      </w:r>
      <w:r w:rsidR="007E1F8D" w:rsidRPr="00672325">
        <w:rPr>
          <w:rFonts w:ascii="Times New Roman" w:hAnsi="Times New Roman"/>
          <w:i/>
        </w:rPr>
        <w:t xml:space="preserve">available at </w:t>
      </w:r>
      <w:hyperlink r:id="rId1" w:history="1">
        <w:r w:rsidR="007E1F8D" w:rsidRPr="00672325">
          <w:rPr>
            <w:rStyle w:val="Hyperlink"/>
            <w:rFonts w:ascii="Times New Roman" w:hAnsi="Times New Roman"/>
            <w:color w:val="auto"/>
            <w:u w:val="none"/>
          </w:rPr>
          <w:t>https://legistar.council.nyc.gov/LegislationDetail.aspx?ID=2473908&amp;GUID=E14F6E26-C4A4-4AEC-9BC4-02E6C0F38E85</w:t>
        </w:r>
      </w:hyperlink>
      <w:r w:rsidR="00333C54" w:rsidRPr="00672325">
        <w:rPr>
          <w:rFonts w:ascii="Times New Roman" w:hAnsi="Times New Roman"/>
        </w:rPr>
        <w:t>.</w:t>
      </w:r>
    </w:p>
  </w:footnote>
  <w:footnote w:id="19">
    <w:p w:rsidR="00F518DA" w:rsidRPr="00672325" w:rsidRDefault="00F518DA" w:rsidP="00193644">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007E1F8D" w:rsidRPr="00672325">
        <w:rPr>
          <w:rFonts w:ascii="Times New Roman" w:hAnsi="Times New Roman"/>
          <w:smallCaps/>
        </w:rPr>
        <w:t xml:space="preserve">N.Y.C. </w:t>
      </w:r>
      <w:r w:rsidR="00C61642" w:rsidRPr="00672325">
        <w:rPr>
          <w:rFonts w:ascii="Times New Roman" w:hAnsi="Times New Roman"/>
          <w:smallCaps/>
        </w:rPr>
        <w:t>Dep’t of Fin</w:t>
      </w:r>
      <w:r w:rsidR="00C61642" w:rsidRPr="00672325">
        <w:rPr>
          <w:rFonts w:ascii="Times New Roman" w:hAnsi="Times New Roman"/>
        </w:rPr>
        <w:t>., https://www1.nyc.gov/site/finance/taxes/property-in-rem-forclosure.page (last visited</w:t>
      </w:r>
      <w:r w:rsidR="000341F0">
        <w:rPr>
          <w:rFonts w:ascii="Times New Roman" w:hAnsi="Times New Roman"/>
        </w:rPr>
        <w:t xml:space="preserve"> June 14</w:t>
      </w:r>
      <w:r w:rsidR="00194120" w:rsidRPr="00672325">
        <w:rPr>
          <w:rFonts w:ascii="Times New Roman" w:hAnsi="Times New Roman"/>
        </w:rPr>
        <w:t>, 2019)</w:t>
      </w:r>
      <w:r w:rsidRPr="00672325">
        <w:rPr>
          <w:rFonts w:ascii="Times New Roman" w:hAnsi="Times New Roman"/>
        </w:rPr>
        <w:t xml:space="preserve">.  </w:t>
      </w:r>
      <w:r w:rsidR="00A407AB">
        <w:rPr>
          <w:rFonts w:ascii="Times New Roman" w:eastAsia="Times New Roman" w:hAnsi="Times New Roman"/>
        </w:rPr>
        <w:t xml:space="preserve">Throughout Round X, </w:t>
      </w:r>
      <w:r w:rsidRPr="00672325">
        <w:rPr>
          <w:rFonts w:ascii="Times New Roman" w:eastAsia="Times New Roman" w:hAnsi="Times New Roman"/>
        </w:rPr>
        <w:t>DOF’s webs</w:t>
      </w:r>
      <w:r w:rsidR="000341F0">
        <w:rPr>
          <w:rFonts w:ascii="Times New Roman" w:eastAsia="Times New Roman" w:hAnsi="Times New Roman"/>
        </w:rPr>
        <w:t>ite did</w:t>
      </w:r>
      <w:r w:rsidRPr="00672325">
        <w:rPr>
          <w:rFonts w:ascii="Times New Roman" w:eastAsia="Times New Roman" w:hAnsi="Times New Roman"/>
        </w:rPr>
        <w:t xml:space="preserve"> not provide a definition for “blighted.”</w:t>
      </w:r>
      <w:r w:rsidR="00A407AB">
        <w:rPr>
          <w:rFonts w:ascii="Times New Roman" w:eastAsia="Times New Roman" w:hAnsi="Times New Roman"/>
        </w:rPr>
        <w:t xml:space="preserve">  Note that DOF’s website has since cha</w:t>
      </w:r>
      <w:r w:rsidR="000E2664">
        <w:rPr>
          <w:rFonts w:ascii="Times New Roman" w:eastAsia="Times New Roman" w:hAnsi="Times New Roman"/>
        </w:rPr>
        <w:t xml:space="preserve">nged and no longer contains the language referencing blight. </w:t>
      </w:r>
    </w:p>
  </w:footnote>
  <w:footnote w:id="20">
    <w:p w:rsidR="00F518DA" w:rsidRPr="00782231" w:rsidRDefault="00F518DA" w:rsidP="004E7F67">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007B4E1B" w:rsidRPr="00672325">
        <w:rPr>
          <w:rFonts w:ascii="Times New Roman" w:hAnsi="Times New Roman"/>
        </w:rPr>
        <w:t xml:space="preserve">How a Property Can End Up in TPT,” document attached to an email from </w:t>
      </w:r>
      <w:r w:rsidR="00DD6AC7" w:rsidRPr="00672325">
        <w:rPr>
          <w:rFonts w:ascii="Times New Roman" w:hAnsi="Times New Roman"/>
        </w:rPr>
        <w:t>N.Y.C. Dep’t of Hous. Pres. &amp; Dev. to the N.Y.C. Council</w:t>
      </w:r>
      <w:r w:rsidR="007B4E1B" w:rsidRPr="00672325">
        <w:rPr>
          <w:rFonts w:ascii="Times New Roman" w:hAnsi="Times New Roman"/>
        </w:rPr>
        <w:t xml:space="preserve"> (Oct. 26, 2018 3:27 PM). On file with the Council.</w:t>
      </w:r>
    </w:p>
  </w:footnote>
  <w:footnote w:id="21">
    <w:p w:rsidR="00F518DA" w:rsidRPr="00672325" w:rsidRDefault="00F518DA" w:rsidP="00193644">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Pr="00672325">
        <w:rPr>
          <w:rFonts w:ascii="Times New Roman" w:hAnsi="Times New Roman"/>
          <w:smallCaps/>
        </w:rPr>
        <w:t>N.Y.C. Admin. Code</w:t>
      </w:r>
      <w:r w:rsidRPr="00672325">
        <w:rPr>
          <w:rFonts w:ascii="Times New Roman" w:hAnsi="Times New Roman"/>
        </w:rPr>
        <w:t xml:space="preserve"> § 11-405(a).  A “tax map” includes “the block map of taxes and assessments to the extent that the territory within the city of New York is or shall be embraced in such map . . .” </w:t>
      </w:r>
      <w:r w:rsidRPr="00672325">
        <w:rPr>
          <w:rFonts w:ascii="Times New Roman" w:hAnsi="Times New Roman"/>
          <w:smallCaps/>
        </w:rPr>
        <w:t>N.Y.C. Admin. Code</w:t>
      </w:r>
      <w:r w:rsidRPr="00672325">
        <w:rPr>
          <w:rFonts w:ascii="Times New Roman" w:hAnsi="Times New Roman"/>
        </w:rPr>
        <w:t xml:space="preserve"> § 11-203(a).  A “block” is defined as a </w:t>
      </w:r>
      <w:r w:rsidR="00C068CB" w:rsidRPr="00672325">
        <w:rPr>
          <w:rFonts w:ascii="Times New Roman" w:hAnsi="Times New Roman"/>
        </w:rPr>
        <w:t>“</w:t>
      </w:r>
      <w:r w:rsidRPr="00672325">
        <w:rPr>
          <w:rFonts w:ascii="Times New Roman" w:hAnsi="Times New Roman"/>
        </w:rPr>
        <w:t>plot or parcel of land such as is commonly so designated in the city, wholly embraced within the continuous lines of streets, or streets and waterfront taken together where water forms one of the boundaries of a block, and such other parcels of land or land under water as may be indicated by the department of finance upon such tax maps by block numbers as constituting blocks.</w:t>
      </w:r>
      <w:r w:rsidR="00C068CB" w:rsidRPr="00672325">
        <w:rPr>
          <w:rFonts w:ascii="Times New Roman" w:hAnsi="Times New Roman"/>
        </w:rPr>
        <w:t>”</w:t>
      </w:r>
      <w:r w:rsidRPr="00672325">
        <w:rPr>
          <w:rFonts w:ascii="Times New Roman" w:hAnsi="Times New Roman"/>
        </w:rPr>
        <w:t xml:space="preserve">  </w:t>
      </w:r>
      <w:r w:rsidRPr="00672325">
        <w:rPr>
          <w:rFonts w:ascii="Times New Roman" w:hAnsi="Times New Roman"/>
          <w:smallCaps/>
        </w:rPr>
        <w:t>N.Y.C. Admin. Code</w:t>
      </w:r>
      <w:r w:rsidRPr="00672325">
        <w:rPr>
          <w:rFonts w:ascii="Times New Roman" w:hAnsi="Times New Roman"/>
        </w:rPr>
        <w:t xml:space="preserve"> § 11-204(d). </w:t>
      </w:r>
    </w:p>
  </w:footnote>
  <w:footnote w:id="22">
    <w:p w:rsidR="00F518DA" w:rsidRPr="00672325" w:rsidRDefault="00F518DA" w:rsidP="007C6349">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00112017">
        <w:rPr>
          <w:rFonts w:ascii="Times New Roman" w:hAnsi="Times New Roman"/>
        </w:rPr>
        <w:t xml:space="preserve">Dec. 3, 2018 </w:t>
      </w:r>
      <w:r w:rsidRPr="00672325">
        <w:rPr>
          <w:rFonts w:ascii="Times New Roman" w:hAnsi="Times New Roman"/>
        </w:rPr>
        <w:t>Letter</w:t>
      </w:r>
      <w:r w:rsidR="00827371" w:rsidRPr="00672325">
        <w:rPr>
          <w:rFonts w:ascii="Times New Roman" w:hAnsi="Times New Roman"/>
        </w:rPr>
        <w:t xml:space="preserve"> from </w:t>
      </w:r>
      <w:r w:rsidR="00C476A3" w:rsidRPr="00672325">
        <w:rPr>
          <w:rFonts w:ascii="Times New Roman" w:hAnsi="Times New Roman"/>
        </w:rPr>
        <w:t>the N.Y.C.</w:t>
      </w:r>
      <w:r w:rsidR="007B4E1B" w:rsidRPr="00672325">
        <w:rPr>
          <w:rFonts w:ascii="Times New Roman" w:hAnsi="Times New Roman"/>
        </w:rPr>
        <w:t xml:space="preserve"> </w:t>
      </w:r>
      <w:r w:rsidR="00827371" w:rsidRPr="00672325">
        <w:rPr>
          <w:rFonts w:ascii="Times New Roman" w:hAnsi="Times New Roman"/>
        </w:rPr>
        <w:t>Law Dep</w:t>
      </w:r>
      <w:r w:rsidR="00C476A3" w:rsidRPr="00672325">
        <w:rPr>
          <w:rFonts w:ascii="Times New Roman" w:hAnsi="Times New Roman"/>
        </w:rPr>
        <w:t>’t</w:t>
      </w:r>
      <w:r w:rsidR="00D11CC1" w:rsidRPr="00672325">
        <w:rPr>
          <w:rFonts w:ascii="Times New Roman" w:hAnsi="Times New Roman"/>
        </w:rPr>
        <w:t xml:space="preserve"> at 2</w:t>
      </w:r>
      <w:r w:rsidRPr="00672325">
        <w:rPr>
          <w:rFonts w:ascii="Times New Roman" w:hAnsi="Times New Roman"/>
        </w:rPr>
        <w:t xml:space="preserve">, </w:t>
      </w:r>
      <w:r w:rsidRPr="00672325">
        <w:rPr>
          <w:rFonts w:ascii="Times New Roman" w:hAnsi="Times New Roman"/>
          <w:i/>
        </w:rPr>
        <w:t>In Rem Tax Foreclosure Action No. 52</w:t>
      </w:r>
      <w:r w:rsidRPr="00672325">
        <w:rPr>
          <w:rFonts w:ascii="Times New Roman" w:hAnsi="Times New Roman"/>
        </w:rPr>
        <w:t xml:space="preserve">, Index No. 40000/2015 </w:t>
      </w:r>
      <w:r w:rsidR="00112017" w:rsidRPr="00672325">
        <w:rPr>
          <w:rFonts w:ascii="Times New Roman" w:hAnsi="Times New Roman"/>
        </w:rPr>
        <w:t>(N.Y. Sup. Ct</w:t>
      </w:r>
      <w:r w:rsidR="00112017">
        <w:rPr>
          <w:rFonts w:ascii="Times New Roman" w:hAnsi="Times New Roman"/>
        </w:rPr>
        <w:t xml:space="preserve">.) </w:t>
      </w:r>
      <w:r w:rsidRPr="00672325">
        <w:rPr>
          <w:rFonts w:ascii="Times New Roman" w:hAnsi="Times New Roman"/>
        </w:rPr>
        <w:t xml:space="preserve">(citing </w:t>
      </w:r>
      <w:r w:rsidRPr="00672325">
        <w:rPr>
          <w:rFonts w:ascii="Times New Roman" w:hAnsi="Times New Roman"/>
          <w:smallCaps/>
        </w:rPr>
        <w:t>N.Y.C. Admin</w:t>
      </w:r>
      <w:r w:rsidR="00D11CC1" w:rsidRPr="00672325">
        <w:rPr>
          <w:rFonts w:ascii="Times New Roman" w:hAnsi="Times New Roman"/>
          <w:smallCaps/>
        </w:rPr>
        <w:t>.</w:t>
      </w:r>
      <w:r w:rsidRPr="00672325">
        <w:rPr>
          <w:rFonts w:ascii="Times New Roman" w:hAnsi="Times New Roman"/>
          <w:smallCaps/>
        </w:rPr>
        <w:t xml:space="preserve"> Code</w:t>
      </w:r>
      <w:r w:rsidR="00D11CC1" w:rsidRPr="00672325">
        <w:rPr>
          <w:rFonts w:ascii="Times New Roman" w:hAnsi="Times New Roman"/>
        </w:rPr>
        <w:t xml:space="preserve"> § 11-405 and stating, </w:t>
      </w:r>
      <w:r w:rsidRPr="00672325">
        <w:rPr>
          <w:rFonts w:ascii="Times New Roman" w:hAnsi="Times New Roman"/>
        </w:rPr>
        <w:t xml:space="preserve">“[T]he law does </w:t>
      </w:r>
      <w:r w:rsidRPr="00672325">
        <w:rPr>
          <w:rFonts w:ascii="Times New Roman" w:hAnsi="Times New Roman"/>
          <w:i/>
        </w:rPr>
        <w:t>not</w:t>
      </w:r>
      <w:r w:rsidRPr="00672325">
        <w:rPr>
          <w:rFonts w:ascii="Times New Roman" w:hAnsi="Times New Roman"/>
        </w:rPr>
        <w:t xml:space="preserve"> . . . prevent properties that are not ‘distressed’ from being forced in </w:t>
      </w:r>
      <w:r w:rsidRPr="00672325">
        <w:rPr>
          <w:rFonts w:ascii="Times New Roman" w:hAnsi="Times New Roman"/>
          <w:i/>
        </w:rPr>
        <w:t>in rem</w:t>
      </w:r>
      <w:r w:rsidRPr="00672325">
        <w:rPr>
          <w:rFonts w:ascii="Times New Roman" w:hAnsi="Times New Roman"/>
        </w:rPr>
        <w:t xml:space="preserve"> proceedings . . . [U]pon commencement of an </w:t>
      </w:r>
      <w:r w:rsidRPr="00672325">
        <w:rPr>
          <w:rFonts w:ascii="Times New Roman" w:hAnsi="Times New Roman"/>
          <w:i/>
        </w:rPr>
        <w:t>in rem</w:t>
      </w:r>
      <w:r w:rsidRPr="00672325">
        <w:rPr>
          <w:rFonts w:ascii="Times New Roman" w:hAnsi="Times New Roman"/>
        </w:rPr>
        <w:t xml:space="preserve"> tax foreclosure action, the City is required to include all tax delinquent properties in a particular tax class in the same tax block as any property selected.”)</w:t>
      </w:r>
      <w:r w:rsidR="00EA4AB5">
        <w:rPr>
          <w:rFonts w:ascii="Times New Roman" w:hAnsi="Times New Roman"/>
        </w:rPr>
        <w:t xml:space="preserve"> (emphasis in original)</w:t>
      </w:r>
      <w:r w:rsidRPr="00672325">
        <w:rPr>
          <w:rFonts w:ascii="Times New Roman" w:hAnsi="Times New Roman"/>
        </w:rPr>
        <w:t>.</w:t>
      </w:r>
    </w:p>
  </w:footnote>
  <w:footnote w:id="23">
    <w:p w:rsidR="00F518DA" w:rsidRPr="00672325" w:rsidRDefault="00F518DA">
      <w:pPr>
        <w:pStyle w:val="FootnoteText"/>
      </w:pPr>
      <w:r w:rsidRPr="00672325">
        <w:rPr>
          <w:rStyle w:val="FootnoteReference"/>
          <w:rFonts w:ascii="Times New Roman" w:hAnsi="Times New Roman"/>
        </w:rPr>
        <w:footnoteRef/>
      </w:r>
      <w:r w:rsidRPr="00672325">
        <w:rPr>
          <w:rFonts w:ascii="Times New Roman" w:hAnsi="Times New Roman"/>
        </w:rPr>
        <w:t xml:space="preserve"> </w:t>
      </w:r>
      <w:r w:rsidRPr="00672325">
        <w:rPr>
          <w:rFonts w:ascii="Times New Roman" w:hAnsi="Times New Roman"/>
          <w:smallCaps/>
        </w:rPr>
        <w:t>N.Y.C. Admin. Code</w:t>
      </w:r>
      <w:r w:rsidRPr="00672325">
        <w:rPr>
          <w:rFonts w:ascii="Times New Roman" w:hAnsi="Times New Roman"/>
        </w:rPr>
        <w:t xml:space="preserve"> § 11-405(d).</w:t>
      </w:r>
    </w:p>
  </w:footnote>
  <w:footnote w:id="24">
    <w:p w:rsidR="00F518DA" w:rsidRPr="002D3F86" w:rsidRDefault="00F518DA">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000072D4" w:rsidRPr="00672325">
        <w:rPr>
          <w:rFonts w:ascii="Times New Roman" w:hAnsi="Times New Roman"/>
          <w:smallCaps/>
        </w:rPr>
        <w:t>N.Y.C. Dep’t of Fin</w:t>
      </w:r>
      <w:r w:rsidR="00347F74" w:rsidRPr="00672325">
        <w:rPr>
          <w:rFonts w:ascii="Times New Roman" w:hAnsi="Times New Roman"/>
          <w:smallCaps/>
        </w:rPr>
        <w:t>.</w:t>
      </w:r>
      <w:r w:rsidR="000072D4" w:rsidRPr="00672325">
        <w:rPr>
          <w:rFonts w:ascii="Times New Roman" w:hAnsi="Times New Roman"/>
        </w:rPr>
        <w:t xml:space="preserve">, </w:t>
      </w:r>
      <w:r w:rsidR="00F06FF7" w:rsidRPr="00672325">
        <w:rPr>
          <w:rFonts w:ascii="Times New Roman" w:hAnsi="Times New Roman"/>
        </w:rPr>
        <w:t>https://www1.nyc.gov/site/finance/taxes/property-in-rem-forclosure.page (last visited May 24, 2019)</w:t>
      </w:r>
      <w:r w:rsidRPr="00672325">
        <w:rPr>
          <w:rFonts w:ascii="Times New Roman" w:hAnsi="Times New Roman"/>
        </w:rPr>
        <w:t xml:space="preserve">; </w:t>
      </w:r>
      <w:r w:rsidRPr="00672325">
        <w:rPr>
          <w:rFonts w:ascii="Times New Roman" w:hAnsi="Times New Roman"/>
          <w:i/>
        </w:rPr>
        <w:t>Hearing Before the N.Y.C. Council Comm. on</w:t>
      </w:r>
      <w:r w:rsidR="00106D48" w:rsidRPr="00672325">
        <w:rPr>
          <w:rFonts w:ascii="Times New Roman" w:hAnsi="Times New Roman"/>
          <w:i/>
        </w:rPr>
        <w:t xml:space="preserve"> Hous. and Bldgs.</w:t>
      </w:r>
      <w:r w:rsidRPr="00672325">
        <w:rPr>
          <w:rFonts w:ascii="Times New Roman" w:hAnsi="Times New Roman"/>
        </w:rPr>
        <w:t>, 26 (N.Y.C. Apr. 2018) (statement of Associate Commissioner of HPD).</w:t>
      </w:r>
    </w:p>
  </w:footnote>
  <w:footnote w:id="25">
    <w:p w:rsidR="00F518DA" w:rsidRPr="00672325" w:rsidRDefault="00F518DA" w:rsidP="00F06FF7">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Pr="00672325">
        <w:rPr>
          <w:rFonts w:ascii="Times New Roman" w:hAnsi="Times New Roman"/>
          <w:smallCaps/>
        </w:rPr>
        <w:t>N.Y.C. Admin. Code</w:t>
      </w:r>
      <w:r w:rsidRPr="00672325">
        <w:rPr>
          <w:rFonts w:ascii="Times New Roman" w:hAnsi="Times New Roman"/>
        </w:rPr>
        <w:t xml:space="preserve"> § 11-405(c); </w:t>
      </w:r>
      <w:r w:rsidR="00F06FF7" w:rsidRPr="00672325">
        <w:rPr>
          <w:rFonts w:ascii="Times New Roman" w:hAnsi="Times New Roman"/>
          <w:smallCaps/>
        </w:rPr>
        <w:t>N.Y.C. Dep’t of Fin</w:t>
      </w:r>
      <w:r w:rsidR="00D41BC7" w:rsidRPr="00672325">
        <w:rPr>
          <w:rFonts w:ascii="Times New Roman" w:hAnsi="Times New Roman"/>
          <w:smallCaps/>
        </w:rPr>
        <w:t>.</w:t>
      </w:r>
      <w:r w:rsidR="00F06FF7" w:rsidRPr="00672325">
        <w:rPr>
          <w:rFonts w:ascii="Times New Roman" w:hAnsi="Times New Roman"/>
        </w:rPr>
        <w:t>, https://www1.nyc.gov/site/finance/taxes/property-in-rem-forclosure.page (last visited May 24, 2019).</w:t>
      </w:r>
    </w:p>
  </w:footnote>
  <w:footnote w:id="26">
    <w:p w:rsidR="00F518DA" w:rsidRPr="00672325" w:rsidRDefault="00F518DA" w:rsidP="00193644">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Pr="00672325">
        <w:rPr>
          <w:rFonts w:ascii="Times New Roman" w:hAnsi="Times New Roman"/>
          <w:smallCaps/>
        </w:rPr>
        <w:t>N.Y.C. Admin Code</w:t>
      </w:r>
      <w:r w:rsidRPr="00672325">
        <w:rPr>
          <w:rFonts w:ascii="Times New Roman" w:hAnsi="Times New Roman"/>
        </w:rPr>
        <w:t xml:space="preserve"> § 11-406(b).  </w:t>
      </w:r>
    </w:p>
  </w:footnote>
  <w:footnote w:id="27">
    <w:p w:rsidR="00F518DA" w:rsidRPr="00672325" w:rsidRDefault="00F518DA" w:rsidP="00193644">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Pr="00672325">
        <w:rPr>
          <w:rFonts w:ascii="Times New Roman" w:hAnsi="Times New Roman"/>
          <w:smallCaps/>
        </w:rPr>
        <w:t>N.Y.C. Admin. Code</w:t>
      </w:r>
      <w:r w:rsidRPr="00672325">
        <w:rPr>
          <w:rFonts w:ascii="Times New Roman" w:hAnsi="Times New Roman"/>
        </w:rPr>
        <w:t xml:space="preserve"> §§ 11-407, 11-409.</w:t>
      </w:r>
    </w:p>
  </w:footnote>
  <w:footnote w:id="28">
    <w:p w:rsidR="00F518DA" w:rsidRPr="00672325" w:rsidRDefault="00F518DA" w:rsidP="00193644">
      <w:pPr>
        <w:pStyle w:val="FootnoteText"/>
        <w:rPr>
          <w:rFonts w:ascii="Times New Roman" w:hAnsi="Times New Roman"/>
        </w:rPr>
      </w:pPr>
      <w:r w:rsidRPr="00672325">
        <w:rPr>
          <w:rStyle w:val="FootnoteReference"/>
          <w:rFonts w:ascii="Times New Roman" w:hAnsi="Times New Roman"/>
        </w:rPr>
        <w:footnoteRef/>
      </w:r>
      <w:r w:rsidR="00F06FF7" w:rsidRPr="00672325">
        <w:rPr>
          <w:rFonts w:ascii="Times New Roman" w:hAnsi="Times New Roman"/>
        </w:rPr>
        <w:t xml:space="preserve"> </w:t>
      </w:r>
      <w:r w:rsidR="00F06FF7" w:rsidRPr="00672325">
        <w:rPr>
          <w:rFonts w:ascii="Times New Roman" w:hAnsi="Times New Roman"/>
          <w:smallCaps/>
        </w:rPr>
        <w:t>N.Y.C. Dep’t of Fin</w:t>
      </w:r>
      <w:r w:rsidR="00347F74" w:rsidRPr="00672325">
        <w:rPr>
          <w:rFonts w:ascii="Times New Roman" w:hAnsi="Times New Roman"/>
          <w:smallCaps/>
        </w:rPr>
        <w:t>.</w:t>
      </w:r>
      <w:r w:rsidR="00F06FF7" w:rsidRPr="00672325">
        <w:rPr>
          <w:rFonts w:ascii="Times New Roman" w:hAnsi="Times New Roman"/>
        </w:rPr>
        <w:t>, https://www1.nyc.gov/site/finance/taxes/property-in-rem-forclosure.page (last visited May 24, 2019).</w:t>
      </w:r>
    </w:p>
  </w:footnote>
  <w:footnote w:id="29">
    <w:p w:rsidR="00F518DA" w:rsidRPr="00672325" w:rsidRDefault="00F518DA" w:rsidP="00193644">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Pr="00672325">
        <w:rPr>
          <w:rFonts w:ascii="Times New Roman" w:hAnsi="Times New Roman"/>
          <w:smallCaps/>
        </w:rPr>
        <w:t>N.Y.C. Admin. Code</w:t>
      </w:r>
      <w:r w:rsidRPr="00672325">
        <w:rPr>
          <w:rFonts w:ascii="Times New Roman" w:hAnsi="Times New Roman"/>
        </w:rPr>
        <w:t xml:space="preserve"> § 11-412.1(b).</w:t>
      </w:r>
    </w:p>
  </w:footnote>
  <w:footnote w:id="30">
    <w:p w:rsidR="00F518DA" w:rsidRPr="00672325" w:rsidRDefault="00F518DA" w:rsidP="00193644">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Pr="00672325">
        <w:rPr>
          <w:rFonts w:ascii="Times New Roman" w:hAnsi="Times New Roman"/>
          <w:smallCaps/>
        </w:rPr>
        <w:t>N.Y.C. Admin. Code</w:t>
      </w:r>
      <w:r w:rsidRPr="00672325">
        <w:rPr>
          <w:rFonts w:ascii="Times New Roman" w:hAnsi="Times New Roman"/>
        </w:rPr>
        <w:t xml:space="preserve"> § 11-412.1(d).</w:t>
      </w:r>
    </w:p>
  </w:footnote>
  <w:footnote w:id="31">
    <w:p w:rsidR="00F518DA" w:rsidRPr="0025070D" w:rsidRDefault="00F518DA" w:rsidP="00193644">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00152CBD" w:rsidRPr="00672325">
        <w:rPr>
          <w:rFonts w:ascii="Times New Roman" w:hAnsi="Times New Roman"/>
        </w:rPr>
        <w:t xml:space="preserve">N.Y.C. </w:t>
      </w:r>
      <w:r w:rsidR="002D3F33" w:rsidRPr="00672325">
        <w:rPr>
          <w:rFonts w:ascii="Times New Roman" w:hAnsi="Times New Roman"/>
          <w:smallCaps/>
        </w:rPr>
        <w:t xml:space="preserve">Dep’t of Fin. </w:t>
      </w:r>
      <w:r w:rsidRPr="00672325">
        <w:rPr>
          <w:rFonts w:ascii="Times New Roman" w:hAnsi="Times New Roman"/>
          <w:smallCaps/>
        </w:rPr>
        <w:t>Rules</w:t>
      </w:r>
      <w:r w:rsidRPr="00672325">
        <w:rPr>
          <w:rFonts w:ascii="Times New Roman" w:hAnsi="Times New Roman"/>
        </w:rPr>
        <w:t xml:space="preserve"> § 13-02(b),(c).  This prohibition on owners who have defaulted on prior payment plans does not apply to Housing Development Fund Corporations.  </w:t>
      </w:r>
      <w:r w:rsidR="00152CBD" w:rsidRPr="00672325">
        <w:rPr>
          <w:rFonts w:ascii="Times New Roman" w:hAnsi="Times New Roman"/>
        </w:rPr>
        <w:t xml:space="preserve">N.Y.C. </w:t>
      </w:r>
      <w:r w:rsidR="00152CBD" w:rsidRPr="00672325">
        <w:rPr>
          <w:rFonts w:ascii="Times New Roman" w:hAnsi="Times New Roman"/>
          <w:smallCaps/>
        </w:rPr>
        <w:t>Dep’t of Fin. Rules</w:t>
      </w:r>
      <w:r w:rsidR="00152CBD" w:rsidRPr="00672325">
        <w:rPr>
          <w:rFonts w:ascii="Times New Roman" w:hAnsi="Times New Roman"/>
        </w:rPr>
        <w:t xml:space="preserve"> </w:t>
      </w:r>
      <w:r w:rsidRPr="00672325">
        <w:rPr>
          <w:rFonts w:ascii="Times New Roman" w:hAnsi="Times New Roman"/>
        </w:rPr>
        <w:t>§ 13-02(c). Housi</w:t>
      </w:r>
      <w:r w:rsidR="00D41BC7" w:rsidRPr="00672325">
        <w:rPr>
          <w:rFonts w:ascii="Times New Roman" w:hAnsi="Times New Roman"/>
        </w:rPr>
        <w:t>ng Development Fund Corporation cooperatives</w:t>
      </w:r>
      <w:r w:rsidRPr="00672325">
        <w:rPr>
          <w:rFonts w:ascii="Times New Roman" w:hAnsi="Times New Roman"/>
        </w:rPr>
        <w:t xml:space="preserve"> are described in more detail below.  </w:t>
      </w:r>
    </w:p>
  </w:footnote>
  <w:footnote w:id="32">
    <w:p w:rsidR="00F518DA" w:rsidRPr="00672325" w:rsidRDefault="00F518DA" w:rsidP="0097037A">
      <w:pPr>
        <w:pStyle w:val="FootnoteText"/>
        <w:rPr>
          <w:rFonts w:ascii="Times New Roman" w:hAnsi="Times New Roman"/>
          <w:smallCaps/>
        </w:rPr>
      </w:pPr>
      <w:r w:rsidRPr="00672325">
        <w:rPr>
          <w:rStyle w:val="FootnoteReference"/>
          <w:rFonts w:ascii="Times New Roman" w:hAnsi="Times New Roman"/>
        </w:rPr>
        <w:footnoteRef/>
      </w:r>
      <w:r w:rsidRPr="00672325">
        <w:rPr>
          <w:rFonts w:ascii="Times New Roman" w:hAnsi="Times New Roman"/>
        </w:rPr>
        <w:t xml:space="preserve"> </w:t>
      </w:r>
      <w:r w:rsidRPr="00672325">
        <w:rPr>
          <w:rFonts w:ascii="Times New Roman" w:hAnsi="Times New Roman"/>
          <w:smallCaps/>
        </w:rPr>
        <w:t>N.Y.C. Admin. Code § 11-412.2.</w:t>
      </w:r>
    </w:p>
  </w:footnote>
  <w:footnote w:id="33">
    <w:p w:rsidR="00F518DA" w:rsidRPr="00672325" w:rsidRDefault="00F518DA" w:rsidP="006F3E52">
      <w:pPr>
        <w:pStyle w:val="FootnoteText"/>
        <w:rPr>
          <w:rFonts w:ascii="Times New Roman" w:hAnsi="Times New Roman"/>
          <w:i/>
          <w:smallCaps/>
        </w:rPr>
      </w:pPr>
      <w:r w:rsidRPr="00672325">
        <w:rPr>
          <w:rStyle w:val="FootnoteReference"/>
          <w:rFonts w:ascii="Times New Roman" w:hAnsi="Times New Roman"/>
          <w:smallCaps/>
        </w:rPr>
        <w:footnoteRef/>
      </w:r>
      <w:r w:rsidRPr="00672325">
        <w:rPr>
          <w:rFonts w:ascii="Times New Roman" w:hAnsi="Times New Roman"/>
          <w:smallCaps/>
        </w:rPr>
        <w:t xml:space="preserve"> </w:t>
      </w:r>
      <w:r w:rsidR="000204CE" w:rsidRPr="00672325">
        <w:rPr>
          <w:rFonts w:ascii="Times New Roman" w:hAnsi="Times New Roman"/>
          <w:i/>
        </w:rPr>
        <w:t>Id.</w:t>
      </w:r>
    </w:p>
  </w:footnote>
  <w:footnote w:id="34">
    <w:p w:rsidR="00F518DA" w:rsidRPr="00672325" w:rsidRDefault="00F518DA">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00F06FF7" w:rsidRPr="00672325">
        <w:rPr>
          <w:rFonts w:ascii="Times New Roman" w:hAnsi="Times New Roman"/>
          <w:smallCaps/>
        </w:rPr>
        <w:t>Neighborhood Restore Hous. Dev. Fund Corp</w:t>
      </w:r>
      <w:r w:rsidR="00F06FF7" w:rsidRPr="00672325">
        <w:rPr>
          <w:rFonts w:ascii="Times New Roman" w:hAnsi="Times New Roman"/>
        </w:rPr>
        <w:t>, http://www.neighborhoodrestore.org/ (last visited May 24, 2019)</w:t>
      </w:r>
      <w:r w:rsidRPr="00672325">
        <w:rPr>
          <w:rFonts w:ascii="Times New Roman" w:hAnsi="Times New Roman"/>
        </w:rPr>
        <w:t>.</w:t>
      </w:r>
    </w:p>
  </w:footnote>
  <w:footnote w:id="35">
    <w:p w:rsidR="00F518DA" w:rsidRPr="00672325" w:rsidRDefault="00F518DA" w:rsidP="005A5899">
      <w:pPr>
        <w:pStyle w:val="FootnoteText"/>
        <w:rPr>
          <w:rFonts w:ascii="Times New Roman" w:hAnsi="Times New Roman"/>
        </w:rPr>
      </w:pPr>
      <w:r w:rsidRPr="00672325">
        <w:rPr>
          <w:rStyle w:val="FootnoteReference"/>
          <w:rFonts w:ascii="Times New Roman" w:hAnsi="Times New Roman"/>
          <w:smallCaps/>
        </w:rPr>
        <w:footnoteRef/>
      </w:r>
      <w:r w:rsidRPr="00672325">
        <w:rPr>
          <w:rFonts w:ascii="Times New Roman" w:hAnsi="Times New Roman"/>
          <w:smallCaps/>
        </w:rPr>
        <w:t xml:space="preserve"> N.Y.C. Admin. Code</w:t>
      </w:r>
      <w:r w:rsidRPr="00672325">
        <w:rPr>
          <w:rFonts w:ascii="Times New Roman" w:hAnsi="Times New Roman"/>
        </w:rPr>
        <w:t xml:space="preserve"> § 11-401(4).</w:t>
      </w:r>
    </w:p>
  </w:footnote>
  <w:footnote w:id="36">
    <w:p w:rsidR="00F518DA" w:rsidRPr="00672325" w:rsidRDefault="00F518DA" w:rsidP="005A5899">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Pr="00672325">
        <w:rPr>
          <w:rFonts w:ascii="Times New Roman" w:hAnsi="Times New Roman"/>
          <w:smallCaps/>
        </w:rPr>
        <w:t>N.Y.C. Admin. Code</w:t>
      </w:r>
      <w:r w:rsidRPr="00672325">
        <w:rPr>
          <w:rFonts w:ascii="Times New Roman" w:hAnsi="Times New Roman"/>
        </w:rPr>
        <w:t xml:space="preserve"> § 11-412.1(c). </w:t>
      </w:r>
    </w:p>
  </w:footnote>
  <w:footnote w:id="37">
    <w:p w:rsidR="00F518DA" w:rsidRPr="000B62E8" w:rsidRDefault="00F518DA" w:rsidP="000B62E8">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00A25AE5" w:rsidRPr="00672325">
        <w:rPr>
          <w:rFonts w:ascii="Times New Roman" w:hAnsi="Times New Roman"/>
          <w:smallCaps/>
        </w:rPr>
        <w:t>Neighborhood Restore Hous. Dev. Fund Corp</w:t>
      </w:r>
      <w:r w:rsidR="00A25AE5" w:rsidRPr="00672325">
        <w:rPr>
          <w:rFonts w:ascii="Times New Roman" w:hAnsi="Times New Roman"/>
        </w:rPr>
        <w:t>, http://www.neighborhoodrestore.org/work/#affordable (last visited May 24, 2019)</w:t>
      </w:r>
      <w:r w:rsidRPr="00672325">
        <w:rPr>
          <w:rFonts w:ascii="Times New Roman" w:hAnsi="Times New Roman"/>
        </w:rPr>
        <w:t xml:space="preserve">; </w:t>
      </w:r>
      <w:r w:rsidR="00347F74" w:rsidRPr="00672325">
        <w:rPr>
          <w:rFonts w:ascii="Times New Roman" w:hAnsi="Times New Roman"/>
          <w:smallCaps/>
        </w:rPr>
        <w:t xml:space="preserve">N.Y.C. Dep’t of </w:t>
      </w:r>
      <w:r w:rsidR="00152CBD" w:rsidRPr="00672325">
        <w:rPr>
          <w:rFonts w:ascii="Times New Roman" w:hAnsi="Times New Roman"/>
          <w:smallCaps/>
          <w:shd w:val="clear" w:color="auto" w:fill="FFFFFF"/>
        </w:rPr>
        <w:t>Hous. Pres.&amp; Dev</w:t>
      </w:r>
      <w:r w:rsidR="00C476A3" w:rsidRPr="00672325">
        <w:rPr>
          <w:rFonts w:ascii="Times New Roman" w:hAnsi="Times New Roman"/>
          <w:smallCaps/>
          <w:shd w:val="clear" w:color="auto" w:fill="FFFFFF"/>
        </w:rPr>
        <w:t>.</w:t>
      </w:r>
      <w:r w:rsidR="00A25AE5" w:rsidRPr="00672325">
        <w:rPr>
          <w:rFonts w:ascii="Times New Roman" w:hAnsi="Times New Roman"/>
        </w:rPr>
        <w:t xml:space="preserve">, </w:t>
      </w:r>
      <w:r w:rsidR="00A25AE5" w:rsidRPr="00672325">
        <w:rPr>
          <w:rFonts w:ascii="Times New Roman" w:hAnsi="Times New Roman"/>
          <w:smallCaps/>
        </w:rPr>
        <w:t>Request for Qualifications: Third Party Transfer Program Round X, MultiFamily Preservation Loan Programs &amp; Rental Special Projects</w:t>
      </w:r>
      <w:r w:rsidR="00A25AE5" w:rsidRPr="00672325">
        <w:rPr>
          <w:rFonts w:ascii="Times New Roman" w:hAnsi="Times New Roman"/>
        </w:rPr>
        <w:t xml:space="preserve"> (2017), http://www1.nyc.gov/assets/hpd/downloads/pdf/developers/Round-10-TPT-RFQ.pdf.</w:t>
      </w:r>
    </w:p>
  </w:footnote>
  <w:footnote w:id="38">
    <w:p w:rsidR="00F518DA" w:rsidRPr="00672325" w:rsidRDefault="00F518DA" w:rsidP="00193644">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00347F74" w:rsidRPr="00672325">
        <w:rPr>
          <w:rFonts w:ascii="Times New Roman" w:hAnsi="Times New Roman"/>
          <w:smallCaps/>
        </w:rPr>
        <w:t xml:space="preserve">N.Y.C. Dep’t of </w:t>
      </w:r>
      <w:r w:rsidR="00152CBD" w:rsidRPr="00672325">
        <w:rPr>
          <w:rFonts w:ascii="Times New Roman" w:hAnsi="Times New Roman"/>
          <w:smallCaps/>
          <w:shd w:val="clear" w:color="auto" w:fill="FFFFFF"/>
        </w:rPr>
        <w:t>Hous. Pres.&amp; Dev</w:t>
      </w:r>
      <w:r w:rsidR="00347F74" w:rsidRPr="00672325">
        <w:rPr>
          <w:rFonts w:ascii="Times New Roman" w:hAnsi="Times New Roman"/>
          <w:smallCaps/>
          <w:shd w:val="clear" w:color="auto" w:fill="FFFFFF"/>
        </w:rPr>
        <w:t>.</w:t>
      </w:r>
      <w:r w:rsidR="00A25AE5" w:rsidRPr="00672325">
        <w:rPr>
          <w:rFonts w:ascii="Times New Roman" w:hAnsi="Times New Roman"/>
        </w:rPr>
        <w:t xml:space="preserve">, </w:t>
      </w:r>
      <w:r w:rsidR="00A25AE5" w:rsidRPr="00672325">
        <w:rPr>
          <w:rFonts w:ascii="Times New Roman" w:hAnsi="Times New Roman"/>
          <w:smallCaps/>
        </w:rPr>
        <w:t>Request for Qualifications: Third Party Transfer Program Round X, MultiFamily Preservation Loan Programs &amp; Rental Special Projects</w:t>
      </w:r>
      <w:r w:rsidR="00A25AE5" w:rsidRPr="00672325">
        <w:rPr>
          <w:rFonts w:ascii="Times New Roman" w:hAnsi="Times New Roman"/>
        </w:rPr>
        <w:t xml:space="preserve"> (2017), http://www1.nyc.gov/assets/hpd/downloads/pdf/developers/Round-10-TPT-RFQ.pdf.  </w:t>
      </w:r>
      <w:r w:rsidRPr="00672325">
        <w:rPr>
          <w:rFonts w:ascii="Times New Roman" w:hAnsi="Times New Roman"/>
        </w:rPr>
        <w:t xml:space="preserve">These properties </w:t>
      </w:r>
      <w:r w:rsidRPr="00672325">
        <w:rPr>
          <w:rFonts w:ascii="Times New Roman" w:hAnsi="Times New Roman"/>
          <w:shd w:val="clear" w:color="auto" w:fill="FFFFFF"/>
        </w:rPr>
        <w:t xml:space="preserve">are generally subject to a regulatory agreement with the City pursuant to </w:t>
      </w:r>
      <w:r w:rsidR="00A25AE5" w:rsidRPr="00672325">
        <w:rPr>
          <w:rFonts w:ascii="Times New Roman" w:hAnsi="Times New Roman"/>
        </w:rPr>
        <w:t>section of</w:t>
      </w:r>
      <w:r w:rsidRPr="00672325">
        <w:rPr>
          <w:rFonts w:ascii="Times New Roman" w:hAnsi="Times New Roman"/>
        </w:rPr>
        <w:t xml:space="preserve"> 8-05</w:t>
      </w:r>
      <w:r w:rsidR="003212E1" w:rsidRPr="00672325">
        <w:rPr>
          <w:rFonts w:ascii="Times New Roman" w:hAnsi="Times New Roman"/>
        </w:rPr>
        <w:t xml:space="preserve"> HPD’s </w:t>
      </w:r>
      <w:r w:rsidR="00A25AE5" w:rsidRPr="00672325">
        <w:rPr>
          <w:rFonts w:ascii="Times New Roman" w:hAnsi="Times New Roman"/>
        </w:rPr>
        <w:t>Rules</w:t>
      </w:r>
      <w:r w:rsidRPr="00672325">
        <w:rPr>
          <w:rFonts w:ascii="Times New Roman" w:hAnsi="Times New Roman"/>
        </w:rPr>
        <w:t>.</w:t>
      </w:r>
    </w:p>
  </w:footnote>
  <w:footnote w:id="39">
    <w:p w:rsidR="00F518DA" w:rsidRPr="00672325" w:rsidRDefault="00F518DA" w:rsidP="00914429">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00347F74" w:rsidRPr="00672325">
        <w:rPr>
          <w:rFonts w:ascii="Times New Roman" w:hAnsi="Times New Roman"/>
          <w:smallCaps/>
        </w:rPr>
        <w:t xml:space="preserve">N.Y.C. Dep’t of </w:t>
      </w:r>
      <w:r w:rsidR="00347F74" w:rsidRPr="00672325">
        <w:rPr>
          <w:rFonts w:ascii="Times New Roman" w:hAnsi="Times New Roman"/>
          <w:smallCaps/>
          <w:shd w:val="clear" w:color="auto" w:fill="FFFFFF"/>
        </w:rPr>
        <w:t>Hous. Pres.&amp; Dev</w:t>
      </w:r>
      <w:r w:rsidR="00347F74" w:rsidRPr="00672325">
        <w:rPr>
          <w:rFonts w:ascii="Times New Roman" w:hAnsi="Times New Roman"/>
        </w:rPr>
        <w:t xml:space="preserve">., </w:t>
      </w:r>
      <w:r w:rsidRPr="00672325">
        <w:rPr>
          <w:rFonts w:ascii="Times New Roman" w:hAnsi="Times New Roman"/>
        </w:rPr>
        <w:t xml:space="preserve">https://www1.nyc.gov/site/hpd/developers/development-programs/multifamily-disposition-and-finance-programs.page </w:t>
      </w:r>
      <w:r w:rsidR="00347F74" w:rsidRPr="00672325">
        <w:rPr>
          <w:rFonts w:ascii="Times New Roman" w:hAnsi="Times New Roman"/>
        </w:rPr>
        <w:t xml:space="preserve">(last visited May 24, 2019) </w:t>
      </w:r>
      <w:r w:rsidRPr="00672325">
        <w:rPr>
          <w:rFonts w:ascii="Times New Roman" w:hAnsi="Times New Roman"/>
        </w:rPr>
        <w:t>(“HPD’s [TPT Program] designate[s] qualified sponsors to purchase and rehabilitate distressed vacant and occupied multi-family properties in order to improve and preserve housing affordable to low-to moderate-income households.”).</w:t>
      </w:r>
    </w:p>
  </w:footnote>
  <w:footnote w:id="40">
    <w:p w:rsidR="00F518DA" w:rsidRPr="00B44E0F" w:rsidRDefault="00F518DA">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The data analyzed was contained in a document HPD provided to the Council</w:t>
      </w:r>
      <w:r w:rsidR="006B35E8" w:rsidRPr="00672325">
        <w:rPr>
          <w:rFonts w:ascii="Times New Roman" w:hAnsi="Times New Roman"/>
        </w:rPr>
        <w:t xml:space="preserve"> (“HPD Data on TPT Properties Selected for Round X”)</w:t>
      </w:r>
      <w:r w:rsidR="00D57D48" w:rsidRPr="00672325">
        <w:rPr>
          <w:rFonts w:ascii="Times New Roman" w:hAnsi="Times New Roman"/>
        </w:rPr>
        <w:t>.  O</w:t>
      </w:r>
      <w:r w:rsidRPr="00672325">
        <w:rPr>
          <w:rFonts w:ascii="Times New Roman" w:hAnsi="Times New Roman"/>
        </w:rPr>
        <w:t>n file with the Council.</w:t>
      </w:r>
    </w:p>
  </w:footnote>
  <w:footnote w:id="41">
    <w:p w:rsidR="00F518DA" w:rsidRPr="00F6423D" w:rsidRDefault="00F518DA" w:rsidP="0074710D">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00112017">
        <w:rPr>
          <w:rFonts w:ascii="Times New Roman" w:hAnsi="Times New Roman"/>
        </w:rPr>
        <w:t xml:space="preserve">Dec. 3, 2018 </w:t>
      </w:r>
      <w:r w:rsidR="006B35E8" w:rsidRPr="00672325">
        <w:rPr>
          <w:rFonts w:ascii="Times New Roman" w:hAnsi="Times New Roman"/>
        </w:rPr>
        <w:t xml:space="preserve">Letter from </w:t>
      </w:r>
      <w:r w:rsidR="00C476A3" w:rsidRPr="00672325">
        <w:rPr>
          <w:rFonts w:ascii="Times New Roman" w:hAnsi="Times New Roman"/>
        </w:rPr>
        <w:t>N.Y.C. Law Dep’t</w:t>
      </w:r>
      <w:r w:rsidR="006B35E8" w:rsidRPr="00672325">
        <w:rPr>
          <w:rFonts w:ascii="Times New Roman" w:hAnsi="Times New Roman"/>
        </w:rPr>
        <w:t xml:space="preserve"> at 2, </w:t>
      </w:r>
      <w:r w:rsidR="006B35E8" w:rsidRPr="00672325">
        <w:rPr>
          <w:rFonts w:ascii="Times New Roman" w:hAnsi="Times New Roman"/>
          <w:i/>
        </w:rPr>
        <w:t>In Rem Tax Foreclosure Action No. 52</w:t>
      </w:r>
      <w:r w:rsidR="006B35E8" w:rsidRPr="00672325">
        <w:rPr>
          <w:rFonts w:ascii="Times New Roman" w:hAnsi="Times New Roman"/>
        </w:rPr>
        <w:t xml:space="preserve">, Index No. 40000/2015 </w:t>
      </w:r>
      <w:r w:rsidR="00112017" w:rsidRPr="00672325">
        <w:rPr>
          <w:rFonts w:ascii="Times New Roman" w:hAnsi="Times New Roman"/>
        </w:rPr>
        <w:t>(N.Y. Sup. Ct</w:t>
      </w:r>
      <w:r w:rsidR="00112017">
        <w:rPr>
          <w:rFonts w:ascii="Times New Roman" w:hAnsi="Times New Roman"/>
        </w:rPr>
        <w:t xml:space="preserve">.) </w:t>
      </w:r>
      <w:r w:rsidRPr="00672325">
        <w:rPr>
          <w:rFonts w:ascii="Times New Roman" w:hAnsi="Times New Roman"/>
        </w:rPr>
        <w:t xml:space="preserve">(citing </w:t>
      </w:r>
      <w:r w:rsidRPr="00672325">
        <w:rPr>
          <w:rFonts w:ascii="Times New Roman" w:hAnsi="Times New Roman"/>
          <w:smallCaps/>
        </w:rPr>
        <w:t>N.Y.C. Admin Code</w:t>
      </w:r>
      <w:r w:rsidRPr="00672325">
        <w:rPr>
          <w:rFonts w:ascii="Times New Roman" w:hAnsi="Times New Roman"/>
        </w:rPr>
        <w:t xml:space="preserve"> § 11-405).   </w:t>
      </w:r>
    </w:p>
  </w:footnote>
  <w:footnote w:id="42">
    <w:p w:rsidR="00F518DA" w:rsidRPr="00672325" w:rsidRDefault="00F518DA" w:rsidP="00A6518F">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HPD Data on TPT Properties Selected for Round X. On file with the Council.</w:t>
      </w:r>
    </w:p>
  </w:footnote>
  <w:footnote w:id="43">
    <w:p w:rsidR="00F518DA" w:rsidRPr="00672325" w:rsidRDefault="00F518DA">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00406E67" w:rsidRPr="00672325">
        <w:rPr>
          <w:rFonts w:ascii="Times New Roman" w:hAnsi="Times New Roman"/>
          <w:i/>
        </w:rPr>
        <w:t>Id.</w:t>
      </w:r>
    </w:p>
  </w:footnote>
  <w:footnote w:id="44">
    <w:p w:rsidR="00F518DA" w:rsidRPr="00672325" w:rsidRDefault="00F518DA" w:rsidP="00F6423D">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00406E67" w:rsidRPr="00672325">
        <w:rPr>
          <w:rFonts w:ascii="Times New Roman" w:hAnsi="Times New Roman"/>
          <w:i/>
        </w:rPr>
        <w:t>Id.</w:t>
      </w:r>
    </w:p>
  </w:footnote>
  <w:footnote w:id="45">
    <w:p w:rsidR="00F518DA" w:rsidRPr="00672325" w:rsidRDefault="00F518DA" w:rsidP="00F02239">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006B35E8" w:rsidRPr="00672325">
        <w:rPr>
          <w:rFonts w:ascii="Times New Roman" w:hAnsi="Times New Roman"/>
        </w:rPr>
        <w:t xml:space="preserve">Christopher J. Allred, </w:t>
      </w:r>
      <w:r w:rsidR="006B35E8" w:rsidRPr="00672325">
        <w:rPr>
          <w:rFonts w:ascii="Times New Roman" w:hAnsi="Times New Roman"/>
          <w:i/>
        </w:rPr>
        <w:t>Breaking the Cycle of Abandonment: Using a Tax Enforcement Tool to Return Distressed Properties to Sound Private Ownership</w:t>
      </w:r>
      <w:r w:rsidR="006B35E8" w:rsidRPr="00672325">
        <w:rPr>
          <w:rFonts w:ascii="Times New Roman" w:hAnsi="Times New Roman"/>
        </w:rPr>
        <w:t xml:space="preserve">, </w:t>
      </w:r>
      <w:r w:rsidR="006B35E8" w:rsidRPr="00672325">
        <w:rPr>
          <w:rFonts w:ascii="Times New Roman" w:hAnsi="Times New Roman"/>
          <w:smallCaps/>
        </w:rPr>
        <w:t>Pioneer Institute</w:t>
      </w:r>
      <w:r w:rsidR="006B35E8" w:rsidRPr="00672325">
        <w:rPr>
          <w:rFonts w:ascii="Times New Roman" w:hAnsi="Times New Roman"/>
        </w:rPr>
        <w:t xml:space="preserve"> 1-3 (2000), https://www1.nyc.gov/assets/hpd/downloads/pdf/bgc_winner.pdf.</w:t>
      </w:r>
    </w:p>
  </w:footnote>
  <w:footnote w:id="46">
    <w:p w:rsidR="00F518DA" w:rsidRPr="00672325" w:rsidRDefault="00F518DA" w:rsidP="00F02239">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00106D48" w:rsidRPr="00672325">
        <w:rPr>
          <w:rFonts w:ascii="Times New Roman" w:hAnsi="Times New Roman"/>
          <w:smallCaps/>
        </w:rPr>
        <w:t>N.Y. Private Hous. Fin.</w:t>
      </w:r>
      <w:r w:rsidRPr="00672325">
        <w:rPr>
          <w:rFonts w:ascii="Times New Roman" w:hAnsi="Times New Roman"/>
          <w:smallCaps/>
        </w:rPr>
        <w:t xml:space="preserve"> Law</w:t>
      </w:r>
      <w:r w:rsidRPr="00672325">
        <w:rPr>
          <w:rFonts w:ascii="Times New Roman" w:hAnsi="Times New Roman"/>
        </w:rPr>
        <w:t xml:space="preserve"> §§ 570-582.  </w:t>
      </w:r>
      <w:r w:rsidRPr="00672325">
        <w:rPr>
          <w:rFonts w:ascii="Times New Roman" w:hAnsi="Times New Roman"/>
          <w:i/>
        </w:rPr>
        <w:t xml:space="preserve">See also </w:t>
      </w:r>
      <w:r w:rsidR="00A52BD1" w:rsidRPr="00672325">
        <w:rPr>
          <w:rFonts w:ascii="Times New Roman" w:hAnsi="Times New Roman"/>
        </w:rPr>
        <w:t>Siegel</w:t>
      </w:r>
      <w:r w:rsidR="00DD6AC7" w:rsidRPr="00672325">
        <w:rPr>
          <w:rFonts w:ascii="Times New Roman" w:hAnsi="Times New Roman"/>
        </w:rPr>
        <w:t>,</w:t>
      </w:r>
      <w:r w:rsidR="00A52BD1" w:rsidRPr="00672325">
        <w:rPr>
          <w:rFonts w:ascii="Times New Roman" w:hAnsi="Times New Roman"/>
        </w:rPr>
        <w:t xml:space="preserve"> Teitelbaum &amp; Evans LLP, </w:t>
      </w:r>
      <w:r w:rsidR="00A52BD1" w:rsidRPr="00672325">
        <w:rPr>
          <w:rFonts w:ascii="Times New Roman" w:hAnsi="Times New Roman"/>
          <w:i/>
        </w:rPr>
        <w:t>BROKEN PROMISE: New York City’s Tenant Interim Lease Program and Those Left Behind</w:t>
      </w:r>
      <w:r w:rsidR="00A52BD1" w:rsidRPr="00672325">
        <w:rPr>
          <w:rFonts w:ascii="Times New Roman" w:hAnsi="Times New Roman"/>
        </w:rPr>
        <w:t xml:space="preserve">, </w:t>
      </w:r>
      <w:r w:rsidRPr="00672325">
        <w:rPr>
          <w:rFonts w:ascii="Times New Roman" w:hAnsi="Times New Roman"/>
          <w:smallCaps/>
        </w:rPr>
        <w:t>PA’LANTE Harlem, Inc</w:t>
      </w:r>
      <w:r w:rsidR="00F56677" w:rsidRPr="00672325">
        <w:rPr>
          <w:rFonts w:ascii="Times New Roman" w:hAnsi="Times New Roman"/>
        </w:rPr>
        <w:t xml:space="preserve">. 13 </w:t>
      </w:r>
      <w:r w:rsidRPr="00672325">
        <w:rPr>
          <w:rFonts w:ascii="Times New Roman" w:hAnsi="Times New Roman"/>
        </w:rPr>
        <w:t>http://s</w:t>
      </w:r>
      <w:r w:rsidR="00F56677" w:rsidRPr="00672325">
        <w:rPr>
          <w:rFonts w:ascii="Times New Roman" w:hAnsi="Times New Roman"/>
        </w:rPr>
        <w:t>tellp.com/TIL%20report.pdf</w:t>
      </w:r>
      <w:r w:rsidRPr="00672325">
        <w:rPr>
          <w:rFonts w:ascii="Times New Roman" w:hAnsi="Times New Roman"/>
        </w:rPr>
        <w:t xml:space="preserve">.  </w:t>
      </w:r>
    </w:p>
  </w:footnote>
  <w:footnote w:id="47">
    <w:p w:rsidR="00F518DA" w:rsidRPr="00672325" w:rsidRDefault="00F518DA" w:rsidP="00F02239">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Pr="00672325">
        <w:rPr>
          <w:rFonts w:ascii="Times New Roman" w:hAnsi="Times New Roman"/>
          <w:i/>
        </w:rPr>
        <w:t>See</w:t>
      </w:r>
      <w:r w:rsidR="00D57D48" w:rsidRPr="00672325">
        <w:rPr>
          <w:rFonts w:ascii="Times New Roman" w:hAnsi="Times New Roman"/>
          <w:i/>
        </w:rPr>
        <w:t xml:space="preserve"> </w:t>
      </w:r>
      <w:r w:rsidR="00D57D48" w:rsidRPr="00672325">
        <w:rPr>
          <w:rFonts w:ascii="Times New Roman" w:hAnsi="Times New Roman"/>
          <w:smallCaps/>
        </w:rPr>
        <w:t xml:space="preserve">N.Y.C. Dep’t of </w:t>
      </w:r>
      <w:r w:rsidR="00D57D48" w:rsidRPr="00672325">
        <w:rPr>
          <w:rFonts w:ascii="Times New Roman" w:hAnsi="Times New Roman"/>
          <w:smallCaps/>
          <w:shd w:val="clear" w:color="auto" w:fill="FFFFFF"/>
        </w:rPr>
        <w:t>Hous. Pres.&amp; Dev</w:t>
      </w:r>
      <w:r w:rsidR="00D57D48" w:rsidRPr="00672325">
        <w:rPr>
          <w:rFonts w:ascii="Times New Roman" w:hAnsi="Times New Roman"/>
        </w:rPr>
        <w:t>., https://www1.nyc.gov/site/hpd/owners/homeowner-hdfc.page</w:t>
      </w:r>
      <w:r w:rsidR="00D57D48" w:rsidRPr="00672325">
        <w:rPr>
          <w:rFonts w:ascii="Times New Roman" w:hAnsi="Times New Roman"/>
          <w:i/>
        </w:rPr>
        <w:t xml:space="preserve"> </w:t>
      </w:r>
      <w:r w:rsidR="00D57D48" w:rsidRPr="00672325">
        <w:rPr>
          <w:rFonts w:ascii="Times New Roman" w:hAnsi="Times New Roman"/>
        </w:rPr>
        <w:t>(last visited May 24, 2019)</w:t>
      </w:r>
      <w:r w:rsidRPr="00672325">
        <w:rPr>
          <w:rFonts w:ascii="Times New Roman" w:hAnsi="Times New Roman"/>
        </w:rPr>
        <w:t>.</w:t>
      </w:r>
    </w:p>
  </w:footnote>
  <w:footnote w:id="48">
    <w:p w:rsidR="00F518DA" w:rsidRPr="006202F5" w:rsidRDefault="00F518DA" w:rsidP="00F02239">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006505B9" w:rsidRPr="00672325">
        <w:rPr>
          <w:rFonts w:ascii="Times New Roman" w:hAnsi="Times New Roman"/>
        </w:rPr>
        <w:t xml:space="preserve">Michelle Higgins, </w:t>
      </w:r>
      <w:r w:rsidR="006505B9" w:rsidRPr="00672325">
        <w:rPr>
          <w:rFonts w:ascii="Times New Roman" w:hAnsi="Times New Roman"/>
          <w:i/>
        </w:rPr>
        <w:t xml:space="preserve">Bargains with a ‘But’, </w:t>
      </w:r>
      <w:r w:rsidR="006505B9" w:rsidRPr="00672325">
        <w:rPr>
          <w:rFonts w:ascii="Times New Roman" w:hAnsi="Times New Roman"/>
          <w:smallCaps/>
        </w:rPr>
        <w:t>N.Y. Times,</w:t>
      </w:r>
      <w:r w:rsidR="006505B9" w:rsidRPr="00672325">
        <w:rPr>
          <w:rFonts w:ascii="Times New Roman" w:hAnsi="Times New Roman"/>
        </w:rPr>
        <w:t xml:space="preserve"> June 27, 2014, </w:t>
      </w:r>
      <w:r w:rsidRPr="00672325">
        <w:rPr>
          <w:rFonts w:ascii="Times New Roman" w:hAnsi="Times New Roman"/>
        </w:rPr>
        <w:t>https://www.nytimes.com/2014/06/29/realestate/affordable-new-york-apartments-with-a-catch.html.</w:t>
      </w:r>
    </w:p>
  </w:footnote>
  <w:footnote w:id="49">
    <w:p w:rsidR="00F518DA" w:rsidRPr="00672325" w:rsidRDefault="00F518DA">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“The sales of apartments in almost all HDFC cooperatives are subject to a ‘flip tax.’ This means that, when a shareholder sells his or her apartment, the sale profits must be divided between the selling shareholder and the Board (and, in some cases, the City).”  </w:t>
      </w:r>
      <w:r w:rsidR="00D57D48" w:rsidRPr="00672325">
        <w:rPr>
          <w:rFonts w:ascii="Times New Roman" w:hAnsi="Times New Roman"/>
          <w:smallCaps/>
        </w:rPr>
        <w:t xml:space="preserve">N.Y.C. Dep’t of </w:t>
      </w:r>
      <w:r w:rsidR="00D57D48" w:rsidRPr="00672325">
        <w:rPr>
          <w:rFonts w:ascii="Times New Roman" w:hAnsi="Times New Roman"/>
          <w:smallCaps/>
          <w:shd w:val="clear" w:color="auto" w:fill="FFFFFF"/>
        </w:rPr>
        <w:t>Hous. Pres.&amp; Dev</w:t>
      </w:r>
      <w:r w:rsidR="00D57D48" w:rsidRPr="00672325">
        <w:rPr>
          <w:rFonts w:ascii="Times New Roman" w:hAnsi="Times New Roman"/>
        </w:rPr>
        <w:t>., https://www1.nyc.gov/assets/hpd/downloads/pdf/Owners/hdfc-coop-fact-sheet.pdf (last visited May 24, 2019).</w:t>
      </w:r>
    </w:p>
  </w:footnote>
  <w:footnote w:id="50">
    <w:p w:rsidR="00F518DA" w:rsidRPr="00672325" w:rsidRDefault="00F518DA">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Michelle Higgins, </w:t>
      </w:r>
      <w:r w:rsidRPr="00672325">
        <w:rPr>
          <w:rFonts w:ascii="Times New Roman" w:hAnsi="Times New Roman"/>
          <w:i/>
        </w:rPr>
        <w:t xml:space="preserve">Bargains with a ‘But’, </w:t>
      </w:r>
      <w:r w:rsidRPr="00672325">
        <w:rPr>
          <w:rFonts w:ascii="Times New Roman" w:hAnsi="Times New Roman"/>
          <w:smallCaps/>
        </w:rPr>
        <w:t>N.Y. Times,</w:t>
      </w:r>
      <w:r w:rsidRPr="00672325">
        <w:rPr>
          <w:rFonts w:ascii="Times New Roman" w:hAnsi="Times New Roman"/>
        </w:rPr>
        <w:t xml:space="preserve"> June 27, 2014, </w:t>
      </w:r>
      <w:r w:rsidR="00145E01" w:rsidRPr="00672325">
        <w:rPr>
          <w:rFonts w:ascii="Times New Roman" w:hAnsi="Times New Roman"/>
        </w:rPr>
        <w:t>https://www.nytimes.com/2014/06/29/realestate/affordable-new-york-apartments-with-a-catch.html</w:t>
      </w:r>
      <w:r w:rsidR="006505B9" w:rsidRPr="00672325">
        <w:rPr>
          <w:rFonts w:ascii="Times New Roman" w:hAnsi="Times New Roman"/>
        </w:rPr>
        <w:t>.</w:t>
      </w:r>
      <w:r w:rsidRPr="00672325">
        <w:rPr>
          <w:rFonts w:ascii="Times New Roman" w:hAnsi="Times New Roman"/>
        </w:rPr>
        <w:t xml:space="preserve"> </w:t>
      </w:r>
    </w:p>
  </w:footnote>
  <w:footnote w:id="51">
    <w:p w:rsidR="00F518DA" w:rsidRPr="00672325" w:rsidRDefault="00F518DA" w:rsidP="00F02239">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006505B9" w:rsidRPr="00672325">
        <w:rPr>
          <w:rFonts w:ascii="Times New Roman" w:hAnsi="Times New Roman"/>
        </w:rPr>
        <w:t xml:space="preserve">Isavel </w:t>
      </w:r>
      <w:r w:rsidR="00F85701" w:rsidRPr="00672325">
        <w:rPr>
          <w:rFonts w:ascii="Times New Roman" w:hAnsi="Times New Roman"/>
        </w:rPr>
        <w:t>Vincent</w:t>
      </w:r>
      <w:r w:rsidRPr="00672325">
        <w:rPr>
          <w:rFonts w:ascii="Times New Roman" w:hAnsi="Times New Roman"/>
        </w:rPr>
        <w:t xml:space="preserve"> and </w:t>
      </w:r>
      <w:r w:rsidR="00F85701" w:rsidRPr="00672325">
        <w:rPr>
          <w:rFonts w:ascii="Times New Roman" w:hAnsi="Times New Roman"/>
        </w:rPr>
        <w:t xml:space="preserve">Melissa </w:t>
      </w:r>
      <w:r w:rsidRPr="00672325">
        <w:rPr>
          <w:rFonts w:ascii="Times New Roman" w:hAnsi="Times New Roman"/>
        </w:rPr>
        <w:t xml:space="preserve">Klein. </w:t>
      </w:r>
      <w:r w:rsidRPr="00672325">
        <w:rPr>
          <w:rFonts w:ascii="Times New Roman" w:hAnsi="Times New Roman"/>
          <w:i/>
        </w:rPr>
        <w:t>Inside de Blasio’s land grab; aimed at boosting affordable housing data.</w:t>
      </w:r>
      <w:r w:rsidRPr="00672325">
        <w:rPr>
          <w:rFonts w:ascii="Times New Roman" w:hAnsi="Times New Roman"/>
        </w:rPr>
        <w:t xml:space="preserve"> </w:t>
      </w:r>
      <w:r w:rsidR="00F85701" w:rsidRPr="00672325">
        <w:rPr>
          <w:rFonts w:ascii="Times New Roman" w:hAnsi="Times New Roman"/>
          <w:smallCaps/>
        </w:rPr>
        <w:t>N.Y. Post</w:t>
      </w:r>
      <w:r w:rsidR="00F85701" w:rsidRPr="00672325">
        <w:rPr>
          <w:rFonts w:ascii="Times New Roman" w:hAnsi="Times New Roman"/>
        </w:rPr>
        <w:t xml:space="preserve">, </w:t>
      </w:r>
      <w:r w:rsidRPr="00672325">
        <w:rPr>
          <w:rFonts w:ascii="Times New Roman" w:hAnsi="Times New Roman"/>
        </w:rPr>
        <w:t xml:space="preserve">February 26, 2017, https://nypost.com/2017/02/26/inside-de-blasios-land-grab-aimed-at-boosting-affordable-housing-data/. </w:t>
      </w:r>
    </w:p>
  </w:footnote>
  <w:footnote w:id="52">
    <w:p w:rsidR="00F518DA" w:rsidRPr="00672325" w:rsidRDefault="00F518DA" w:rsidP="007A6468">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Pr="00672325">
        <w:rPr>
          <w:rFonts w:ascii="Times New Roman" w:hAnsi="Times New Roman"/>
          <w:smallCaps/>
        </w:rPr>
        <w:t>N.Y.C. Admin. Code</w:t>
      </w:r>
      <w:r w:rsidRPr="00672325">
        <w:rPr>
          <w:rFonts w:ascii="Times New Roman" w:hAnsi="Times New Roman"/>
        </w:rPr>
        <w:t xml:space="preserve"> § 11-319(b)(10); </w:t>
      </w:r>
      <w:r w:rsidRPr="00672325">
        <w:rPr>
          <w:rFonts w:ascii="Times New Roman" w:hAnsi="Times New Roman"/>
          <w:smallCaps/>
        </w:rPr>
        <w:t>N.Y.C. Admin. Code</w:t>
      </w:r>
      <w:r w:rsidRPr="00672325">
        <w:rPr>
          <w:rFonts w:ascii="Times New Roman" w:hAnsi="Times New Roman"/>
        </w:rPr>
        <w:t xml:space="preserve"> § 11-401.1(a). </w:t>
      </w:r>
    </w:p>
  </w:footnote>
  <w:footnote w:id="53">
    <w:p w:rsidR="00F518DA" w:rsidRPr="00831AEB" w:rsidRDefault="00F518DA" w:rsidP="006C43A0">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002620AB" w:rsidRPr="00672325">
        <w:rPr>
          <w:rFonts w:ascii="Times New Roman" w:hAnsi="Times New Roman"/>
        </w:rPr>
        <w:t xml:space="preserve">Correspondence between N.Y.C. Council and </w:t>
      </w:r>
      <w:r w:rsidR="00DD6AC7" w:rsidRPr="00672325">
        <w:rPr>
          <w:rFonts w:ascii="Times New Roman" w:hAnsi="Times New Roman"/>
        </w:rPr>
        <w:t xml:space="preserve">N.Y.C. Dep’t of Hous. Pres. &amp; Dev. </w:t>
      </w:r>
      <w:r w:rsidR="00057ABC" w:rsidRPr="00672325">
        <w:rPr>
          <w:rFonts w:ascii="Times New Roman" w:hAnsi="Times New Roman"/>
        </w:rPr>
        <w:t>(Jan. 2017</w:t>
      </w:r>
      <w:r w:rsidR="002620AB" w:rsidRPr="00672325">
        <w:rPr>
          <w:rFonts w:ascii="Times New Roman" w:hAnsi="Times New Roman"/>
        </w:rPr>
        <w:t>). On file with the Council.</w:t>
      </w:r>
    </w:p>
  </w:footnote>
  <w:footnote w:id="54">
    <w:p w:rsidR="00F518DA" w:rsidRPr="00672325" w:rsidRDefault="00F518DA" w:rsidP="00831AEB">
      <w:pPr>
        <w:pStyle w:val="FootnoteText"/>
        <w:rPr>
          <w:rFonts w:ascii="Times New Roman" w:hAnsi="Times New Roman"/>
        </w:rPr>
      </w:pPr>
      <w:r w:rsidRPr="00672325">
        <w:rPr>
          <w:rStyle w:val="FootnoteReference"/>
          <w:rFonts w:ascii="Times New Roman" w:hAnsi="Times New Roman"/>
        </w:rPr>
        <w:footnoteRef/>
      </w:r>
      <w:r w:rsidR="006C43A0" w:rsidRPr="00672325">
        <w:rPr>
          <w:rFonts w:ascii="Times New Roman" w:hAnsi="Times New Roman"/>
        </w:rPr>
        <w:t xml:space="preserve"> </w:t>
      </w:r>
      <w:r w:rsidR="00DD6AC7" w:rsidRPr="00672325">
        <w:rPr>
          <w:rFonts w:ascii="Times New Roman" w:hAnsi="Times New Roman"/>
        </w:rPr>
        <w:t xml:space="preserve">Correspondence between N.Y.C. Council and N.Y.C. Dep’t of Hous. Pres. &amp; Dev. </w:t>
      </w:r>
      <w:r w:rsidR="00057ABC" w:rsidRPr="00672325">
        <w:rPr>
          <w:rFonts w:ascii="Times New Roman" w:hAnsi="Times New Roman"/>
        </w:rPr>
        <w:t>(Jan. 2017). On file with the Council.</w:t>
      </w:r>
    </w:p>
  </w:footnote>
  <w:footnote w:id="55">
    <w:p w:rsidR="00F518DA" w:rsidRPr="006D21EB" w:rsidRDefault="00F518DA">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HPD Data on TPT Properties Selected for Round X. On file with the Council.</w:t>
      </w:r>
    </w:p>
  </w:footnote>
  <w:footnote w:id="56">
    <w:p w:rsidR="00F518DA" w:rsidRPr="00672325" w:rsidRDefault="00F518DA">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00C269FC" w:rsidRPr="00672325">
        <w:rPr>
          <w:rFonts w:ascii="Times New Roman" w:hAnsi="Times New Roman"/>
          <w:i/>
        </w:rPr>
        <w:t>Id.</w:t>
      </w:r>
    </w:p>
  </w:footnote>
  <w:footnote w:id="57">
    <w:p w:rsidR="00F518DA" w:rsidRPr="00672325" w:rsidRDefault="00F518DA">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00C269FC" w:rsidRPr="00672325">
        <w:rPr>
          <w:rFonts w:ascii="Times New Roman" w:hAnsi="Times New Roman"/>
          <w:i/>
        </w:rPr>
        <w:t>Id.</w:t>
      </w:r>
    </w:p>
  </w:footnote>
  <w:footnote w:id="58">
    <w:p w:rsidR="00F518DA" w:rsidRDefault="00F518DA">
      <w:pPr>
        <w:pStyle w:val="FootnoteText"/>
      </w:pPr>
      <w:r w:rsidRPr="00672325">
        <w:rPr>
          <w:rStyle w:val="FootnoteReference"/>
          <w:rFonts w:ascii="Times New Roman" w:hAnsi="Times New Roman"/>
        </w:rPr>
        <w:footnoteRef/>
      </w:r>
      <w:r w:rsidRPr="00672325">
        <w:rPr>
          <w:rFonts w:ascii="Times New Roman" w:hAnsi="Times New Roman"/>
        </w:rPr>
        <w:t xml:space="preserve"> </w:t>
      </w:r>
      <w:r w:rsidRPr="00672325">
        <w:rPr>
          <w:rFonts w:ascii="Times New Roman" w:hAnsi="Times New Roman"/>
          <w:smallCaps/>
        </w:rPr>
        <w:t>N.Y.C. Admin. Code</w:t>
      </w:r>
      <w:r w:rsidRPr="00672325">
        <w:rPr>
          <w:rFonts w:ascii="Times New Roman" w:hAnsi="Times New Roman"/>
        </w:rPr>
        <w:t xml:space="preserve"> §§ 11-406(b), 11-407, 11-409</w:t>
      </w:r>
      <w:r w:rsidRPr="002D3F86">
        <w:rPr>
          <w:rFonts w:ascii="Times New Roman" w:hAnsi="Times New Roman"/>
        </w:rPr>
        <w:t>.</w:t>
      </w:r>
    </w:p>
  </w:footnote>
  <w:footnote w:id="59">
    <w:p w:rsidR="00F518DA" w:rsidRPr="00672325" w:rsidRDefault="00F518DA" w:rsidP="00BC750B">
      <w:pPr>
        <w:pStyle w:val="FootnoteText"/>
        <w:rPr>
          <w:rFonts w:ascii="Times New Roman" w:hAnsi="Times New Roman"/>
          <w:i/>
        </w:rPr>
      </w:pPr>
      <w:r w:rsidRPr="00672325">
        <w:rPr>
          <w:rStyle w:val="FootnoteReference"/>
          <w:rFonts w:ascii="Times New Roman" w:hAnsi="Times New Roman"/>
        </w:rPr>
        <w:footnoteRef/>
      </w:r>
      <w:r w:rsidRPr="00672325">
        <w:rPr>
          <w:rFonts w:ascii="Times New Roman" w:hAnsi="Times New Roman"/>
        </w:rPr>
        <w:t xml:space="preserve"> </w:t>
      </w:r>
      <w:r w:rsidRPr="00672325">
        <w:rPr>
          <w:rFonts w:ascii="Times New Roman" w:hAnsi="Times New Roman"/>
          <w:i/>
        </w:rPr>
        <w:t>Hearing Before the</w:t>
      </w:r>
      <w:r w:rsidR="00106D48" w:rsidRPr="00672325">
        <w:rPr>
          <w:rFonts w:ascii="Times New Roman" w:hAnsi="Times New Roman"/>
          <w:i/>
        </w:rPr>
        <w:t xml:space="preserve"> N.Y.C. Council Comm. on Hous. and Bldg</w:t>
      </w:r>
      <w:r w:rsidRPr="00672325">
        <w:rPr>
          <w:rFonts w:ascii="Times New Roman" w:hAnsi="Times New Roman"/>
          <w:i/>
        </w:rPr>
        <w:t>s</w:t>
      </w:r>
      <w:r w:rsidR="00106D48" w:rsidRPr="00672325">
        <w:rPr>
          <w:rFonts w:ascii="Times New Roman" w:hAnsi="Times New Roman"/>
        </w:rPr>
        <w:t>.</w:t>
      </w:r>
      <w:r w:rsidRPr="00672325">
        <w:rPr>
          <w:rFonts w:ascii="Times New Roman" w:hAnsi="Times New Roman"/>
        </w:rPr>
        <w:t xml:space="preserve">, 26 (N.Y.C. Apr. 2018) (statement of Associate Commissioner of HPD). </w:t>
      </w:r>
    </w:p>
  </w:footnote>
  <w:footnote w:id="60">
    <w:p w:rsidR="00F518DA" w:rsidRPr="00672325" w:rsidRDefault="00F518DA" w:rsidP="00BC750B">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Pr="00672325">
        <w:rPr>
          <w:rFonts w:ascii="Times New Roman" w:hAnsi="Times New Roman"/>
          <w:i/>
        </w:rPr>
        <w:t xml:space="preserve">See, e.g., </w:t>
      </w:r>
      <w:r w:rsidR="00057ABC" w:rsidRPr="00672325">
        <w:rPr>
          <w:rFonts w:ascii="Times New Roman" w:hAnsi="Times New Roman"/>
          <w:i/>
        </w:rPr>
        <w:t xml:space="preserve">In Rem Tax Foreclosure Action No. 53, </w:t>
      </w:r>
      <w:r w:rsidR="00057ABC" w:rsidRPr="00672325">
        <w:rPr>
          <w:rFonts w:ascii="Times New Roman" w:hAnsi="Times New Roman"/>
        </w:rPr>
        <w:t>Index No. 8700/15, slip op. at 33 (N.Y. Sup. Ct. Mar. 28, 2019).</w:t>
      </w:r>
      <w:r w:rsidRPr="00672325">
        <w:rPr>
          <w:rFonts w:ascii="Times New Roman" w:hAnsi="Times New Roman"/>
        </w:rPr>
        <w:t xml:space="preserve"> </w:t>
      </w:r>
    </w:p>
  </w:footnote>
  <w:footnote w:id="61">
    <w:p w:rsidR="00F518DA" w:rsidRPr="00672325" w:rsidRDefault="00F518DA" w:rsidP="00E351B9">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Pr="00672325">
        <w:rPr>
          <w:rFonts w:ascii="Times New Roman" w:hAnsi="Times New Roman"/>
          <w:smallCaps/>
        </w:rPr>
        <w:t>N.Y.C. Admin. Code</w:t>
      </w:r>
      <w:r w:rsidRPr="00672325">
        <w:rPr>
          <w:rFonts w:ascii="Times New Roman" w:hAnsi="Times New Roman"/>
        </w:rPr>
        <w:t xml:space="preserve"> §11-412.1(d).</w:t>
      </w:r>
    </w:p>
  </w:footnote>
  <w:footnote w:id="62">
    <w:p w:rsidR="00F518DA" w:rsidRPr="00672325" w:rsidRDefault="00F518DA" w:rsidP="00E351B9">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Pr="00672325">
        <w:rPr>
          <w:rFonts w:ascii="Times New Roman" w:hAnsi="Times New Roman"/>
          <w:smallCaps/>
        </w:rPr>
        <w:t>N.Y.C. Rules</w:t>
      </w:r>
      <w:r w:rsidRPr="00672325">
        <w:rPr>
          <w:rFonts w:ascii="Times New Roman" w:hAnsi="Times New Roman"/>
        </w:rPr>
        <w:t xml:space="preserve"> § 13-02(b), (c).    </w:t>
      </w:r>
    </w:p>
  </w:footnote>
  <w:footnote w:id="63">
    <w:p w:rsidR="00F518DA" w:rsidRPr="00672325" w:rsidRDefault="00F518DA">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Pr="00672325">
        <w:rPr>
          <w:rFonts w:ascii="Times New Roman" w:hAnsi="Times New Roman"/>
          <w:i/>
        </w:rPr>
        <w:t>See, e.g.,</w:t>
      </w:r>
      <w:r w:rsidR="00D90BC5" w:rsidRPr="00672325">
        <w:rPr>
          <w:rFonts w:ascii="Times New Roman" w:hAnsi="Times New Roman"/>
          <w:i/>
        </w:rPr>
        <w:t xml:space="preserve"> In Rem Tax Foreclosure Action No. 53, </w:t>
      </w:r>
      <w:r w:rsidR="00D90BC5" w:rsidRPr="00672325">
        <w:rPr>
          <w:rFonts w:ascii="Times New Roman" w:hAnsi="Times New Roman"/>
        </w:rPr>
        <w:t xml:space="preserve">Index No. 8700/15, slip op. at 29 (N.Y. Sup. Ct. Mar. 28, 2019). </w:t>
      </w:r>
      <w:r w:rsidRPr="00672325">
        <w:rPr>
          <w:rFonts w:ascii="Times New Roman" w:hAnsi="Times New Roman"/>
          <w:i/>
        </w:rPr>
        <w:t xml:space="preserve"> </w:t>
      </w:r>
      <w:r w:rsidRPr="00672325">
        <w:rPr>
          <w:rFonts w:ascii="Times New Roman" w:hAnsi="Times New Roman"/>
        </w:rPr>
        <w:t>“[T]his is not a case where a landlord has made no effort to maintain the property.  Rather, the shareholders and board [of the property] are desperately seeking to maintain and rehabilitate the . . . . property and to pay all outstanding sums due, obviating the need for any transfer under [TPT].”</w:t>
      </w:r>
    </w:p>
  </w:footnote>
  <w:footnote w:id="64">
    <w:p w:rsidR="00F518DA" w:rsidRPr="00DD6AC7" w:rsidRDefault="00F518DA" w:rsidP="00023CB3">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006051AE" w:rsidRPr="00672325">
        <w:rPr>
          <w:rFonts w:ascii="Times New Roman" w:hAnsi="Times New Roman"/>
          <w:i/>
        </w:rPr>
        <w:t>I</w:t>
      </w:r>
      <w:r w:rsidR="00DD6AC7" w:rsidRPr="00672325">
        <w:rPr>
          <w:rFonts w:ascii="Times New Roman" w:hAnsi="Times New Roman"/>
          <w:i/>
        </w:rPr>
        <w:t>d</w:t>
      </w:r>
      <w:r w:rsidR="00D90BC5" w:rsidRPr="00672325">
        <w:rPr>
          <w:rFonts w:ascii="Times New Roman" w:hAnsi="Times New Roman"/>
        </w:rPr>
        <w:t xml:space="preserve">. at 33. </w:t>
      </w:r>
    </w:p>
  </w:footnote>
  <w:footnote w:id="65">
    <w:p w:rsidR="00F518DA" w:rsidRPr="00672325" w:rsidRDefault="00F518DA">
      <w:pPr>
        <w:pStyle w:val="FootnoteText"/>
        <w:rPr>
          <w:rFonts w:ascii="Times New Roman" w:hAnsi="Times New Roman"/>
        </w:rPr>
      </w:pPr>
      <w:r w:rsidRPr="00672325">
        <w:rPr>
          <w:rStyle w:val="FootnoteReference"/>
          <w:rFonts w:ascii="Times New Roman" w:hAnsi="Times New Roman"/>
        </w:rPr>
        <w:footnoteRef/>
      </w:r>
      <w:r w:rsidR="002451D5" w:rsidRPr="00672325">
        <w:rPr>
          <w:rFonts w:ascii="Times New Roman" w:hAnsi="Times New Roman"/>
          <w:i/>
        </w:rPr>
        <w:t xml:space="preserve"> Id</w:t>
      </w:r>
      <w:r w:rsidR="00D90BC5" w:rsidRPr="00672325">
        <w:rPr>
          <w:rFonts w:ascii="Times New Roman" w:hAnsi="Times New Roman"/>
        </w:rPr>
        <w:t>. at 10-</w:t>
      </w:r>
      <w:r w:rsidR="002451D5" w:rsidRPr="00672325">
        <w:rPr>
          <w:rFonts w:ascii="Times New Roman" w:hAnsi="Times New Roman"/>
        </w:rPr>
        <w:t>12</w:t>
      </w:r>
      <w:r w:rsidR="00D90BC5" w:rsidRPr="00672325">
        <w:rPr>
          <w:rFonts w:ascii="Times New Roman" w:hAnsi="Times New Roman"/>
        </w:rPr>
        <w:t xml:space="preserve">. </w:t>
      </w:r>
    </w:p>
  </w:footnote>
  <w:footnote w:id="66">
    <w:p w:rsidR="00F518DA" w:rsidRPr="00672325" w:rsidRDefault="00F518DA">
      <w:pPr>
        <w:pStyle w:val="FootnoteText"/>
        <w:rPr>
          <w:rFonts w:ascii="Times New Roman" w:hAnsi="Times New Roman"/>
        </w:rPr>
      </w:pPr>
      <w:r w:rsidRPr="00672325">
        <w:rPr>
          <w:rStyle w:val="FootnoteReference"/>
          <w:rFonts w:ascii="Times New Roman" w:hAnsi="Times New Roman"/>
        </w:rPr>
        <w:footnoteRef/>
      </w:r>
      <w:r w:rsidRPr="00672325">
        <w:rPr>
          <w:rFonts w:ascii="Times New Roman" w:hAnsi="Times New Roman"/>
        </w:rPr>
        <w:t xml:space="preserve"> </w:t>
      </w:r>
      <w:r w:rsidR="002451D5" w:rsidRPr="00672325">
        <w:rPr>
          <w:rFonts w:ascii="Times New Roman" w:hAnsi="Times New Roman"/>
          <w:i/>
        </w:rPr>
        <w:t>Id</w:t>
      </w:r>
      <w:r w:rsidR="00D90BC5" w:rsidRPr="00672325">
        <w:rPr>
          <w:rFonts w:ascii="Times New Roman" w:hAnsi="Times New Roman"/>
        </w:rPr>
        <w:t xml:space="preserve">. at 54-55. </w:t>
      </w:r>
    </w:p>
  </w:footnote>
  <w:footnote w:id="67">
    <w:p w:rsidR="00F518DA" w:rsidRDefault="00F518DA" w:rsidP="00D90BC5">
      <w:pPr>
        <w:pStyle w:val="FootnoteText"/>
      </w:pPr>
      <w:r w:rsidRPr="00672325">
        <w:rPr>
          <w:rStyle w:val="FootnoteReference"/>
          <w:rFonts w:ascii="Times New Roman" w:hAnsi="Times New Roman"/>
        </w:rPr>
        <w:footnoteRef/>
      </w:r>
      <w:r w:rsidRPr="00672325">
        <w:rPr>
          <w:rFonts w:ascii="Times New Roman" w:hAnsi="Times New Roman"/>
        </w:rPr>
        <w:t xml:space="preserve"> </w:t>
      </w:r>
      <w:r w:rsidR="00D90BC5" w:rsidRPr="00672325">
        <w:rPr>
          <w:rFonts w:ascii="Times New Roman" w:hAnsi="Times New Roman"/>
          <w:i/>
        </w:rPr>
        <w:t>I</w:t>
      </w:r>
      <w:r w:rsidR="002451D5" w:rsidRPr="00672325">
        <w:rPr>
          <w:rFonts w:ascii="Times New Roman" w:hAnsi="Times New Roman"/>
          <w:i/>
        </w:rPr>
        <w:t>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F78"/>
    <w:multiLevelType w:val="multilevel"/>
    <w:tmpl w:val="92D6AEC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rPr>
        <w:i w:val="0"/>
      </w:r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6DB2C94"/>
    <w:multiLevelType w:val="hybridMultilevel"/>
    <w:tmpl w:val="26642E9A"/>
    <w:lvl w:ilvl="0" w:tplc="0409001B">
      <w:start w:val="1"/>
      <w:numFmt w:val="lowerRoman"/>
      <w:lvlText w:val="%1."/>
      <w:lvlJc w:val="righ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089B4AD0"/>
    <w:multiLevelType w:val="hybridMultilevel"/>
    <w:tmpl w:val="8678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751F0"/>
    <w:multiLevelType w:val="hybridMultilevel"/>
    <w:tmpl w:val="636A5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31383C"/>
    <w:multiLevelType w:val="hybridMultilevel"/>
    <w:tmpl w:val="346A1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35F39"/>
    <w:multiLevelType w:val="hybridMultilevel"/>
    <w:tmpl w:val="8EE681B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34332D0"/>
    <w:multiLevelType w:val="hybridMultilevel"/>
    <w:tmpl w:val="3BA0D4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494777"/>
    <w:multiLevelType w:val="hybridMultilevel"/>
    <w:tmpl w:val="DD86F8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8C602B"/>
    <w:multiLevelType w:val="hybridMultilevel"/>
    <w:tmpl w:val="49BAF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31CEA"/>
    <w:multiLevelType w:val="hybridMultilevel"/>
    <w:tmpl w:val="E4F06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51D83"/>
    <w:multiLevelType w:val="hybridMultilevel"/>
    <w:tmpl w:val="DA2A150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1F5778EF"/>
    <w:multiLevelType w:val="hybridMultilevel"/>
    <w:tmpl w:val="D1C286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CA05C3"/>
    <w:multiLevelType w:val="hybridMultilevel"/>
    <w:tmpl w:val="63E23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07A3"/>
    <w:multiLevelType w:val="hybridMultilevel"/>
    <w:tmpl w:val="6936C1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057DBF"/>
    <w:multiLevelType w:val="hybridMultilevel"/>
    <w:tmpl w:val="B5DC6EF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8E47FC6"/>
    <w:multiLevelType w:val="hybridMultilevel"/>
    <w:tmpl w:val="53347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42EF9"/>
    <w:multiLevelType w:val="hybridMultilevel"/>
    <w:tmpl w:val="9D72AF52"/>
    <w:lvl w:ilvl="0" w:tplc="04090019">
      <w:start w:val="1"/>
      <w:numFmt w:val="lowerLetter"/>
      <w:lvlText w:val="%1."/>
      <w:lvlJc w:val="left"/>
      <w:pPr>
        <w:ind w:left="1440" w:hanging="360"/>
      </w:pPr>
    </w:lvl>
    <w:lvl w:ilvl="1" w:tplc="90E8A35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E71829"/>
    <w:multiLevelType w:val="hybridMultilevel"/>
    <w:tmpl w:val="417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52CDD"/>
    <w:multiLevelType w:val="hybridMultilevel"/>
    <w:tmpl w:val="E89AF8C0"/>
    <w:lvl w:ilvl="0" w:tplc="A7D2CA90">
      <w:start w:val="1"/>
      <w:numFmt w:val="lowerRoman"/>
      <w:lvlText w:val="%1."/>
      <w:lvlJc w:val="right"/>
      <w:pPr>
        <w:ind w:left="3960" w:hanging="360"/>
      </w:pPr>
      <w:rPr>
        <w:rFonts w:ascii="Times New Roman" w:eastAsia="Times New Roman" w:hAnsi="Times New Roman" w:cs="Times New Roman"/>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469511E3"/>
    <w:multiLevelType w:val="hybridMultilevel"/>
    <w:tmpl w:val="5836624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C7532"/>
    <w:multiLevelType w:val="hybridMultilevel"/>
    <w:tmpl w:val="B1BE7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A03A8"/>
    <w:multiLevelType w:val="hybridMultilevel"/>
    <w:tmpl w:val="95AA0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C43892"/>
    <w:multiLevelType w:val="hybridMultilevel"/>
    <w:tmpl w:val="EBFCDE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067457"/>
    <w:multiLevelType w:val="hybridMultilevel"/>
    <w:tmpl w:val="26642E9A"/>
    <w:lvl w:ilvl="0" w:tplc="0409001B">
      <w:start w:val="1"/>
      <w:numFmt w:val="lowerRoman"/>
      <w:lvlText w:val="%1."/>
      <w:lvlJc w:val="righ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15:restartNumberingAfterBreak="0">
    <w:nsid w:val="650414D9"/>
    <w:multiLevelType w:val="hybridMultilevel"/>
    <w:tmpl w:val="26642E9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7380EB4"/>
    <w:multiLevelType w:val="hybridMultilevel"/>
    <w:tmpl w:val="A72A96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A69167A"/>
    <w:multiLevelType w:val="hybridMultilevel"/>
    <w:tmpl w:val="E89AF8C0"/>
    <w:lvl w:ilvl="0" w:tplc="A7D2CA90">
      <w:start w:val="1"/>
      <w:numFmt w:val="lowerRoman"/>
      <w:lvlText w:val="%1."/>
      <w:lvlJc w:val="righ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6E224E00"/>
    <w:multiLevelType w:val="hybridMultilevel"/>
    <w:tmpl w:val="12F6E39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73CF0F4B"/>
    <w:multiLevelType w:val="hybridMultilevel"/>
    <w:tmpl w:val="A6C4357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79F74B7B"/>
    <w:multiLevelType w:val="hybridMultilevel"/>
    <w:tmpl w:val="C1427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B311EB"/>
    <w:multiLevelType w:val="hybridMultilevel"/>
    <w:tmpl w:val="15387A1E"/>
    <w:lvl w:ilvl="0" w:tplc="04090015">
      <w:start w:val="1"/>
      <w:numFmt w:val="upperLetter"/>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31" w15:restartNumberingAfterBreak="0">
    <w:nsid w:val="7ECA6585"/>
    <w:multiLevelType w:val="hybridMultilevel"/>
    <w:tmpl w:val="FCB41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0"/>
  </w:num>
  <w:num w:numId="4">
    <w:abstractNumId w:val="16"/>
  </w:num>
  <w:num w:numId="5">
    <w:abstractNumId w:val="11"/>
  </w:num>
  <w:num w:numId="6">
    <w:abstractNumId w:val="29"/>
  </w:num>
  <w:num w:numId="7">
    <w:abstractNumId w:val="6"/>
  </w:num>
  <w:num w:numId="8">
    <w:abstractNumId w:val="25"/>
  </w:num>
  <w:num w:numId="9">
    <w:abstractNumId w:val="21"/>
  </w:num>
  <w:num w:numId="10">
    <w:abstractNumId w:val="9"/>
  </w:num>
  <w:num w:numId="11">
    <w:abstractNumId w:val="22"/>
  </w:num>
  <w:num w:numId="12">
    <w:abstractNumId w:val="20"/>
  </w:num>
  <w:num w:numId="13">
    <w:abstractNumId w:val="31"/>
  </w:num>
  <w:num w:numId="14">
    <w:abstractNumId w:val="2"/>
  </w:num>
  <w:num w:numId="15">
    <w:abstractNumId w:val="8"/>
  </w:num>
  <w:num w:numId="16">
    <w:abstractNumId w:val="12"/>
  </w:num>
  <w:num w:numId="17">
    <w:abstractNumId w:val="24"/>
  </w:num>
  <w:num w:numId="18">
    <w:abstractNumId w:val="26"/>
  </w:num>
  <w:num w:numId="19">
    <w:abstractNumId w:val="19"/>
  </w:num>
  <w:num w:numId="20">
    <w:abstractNumId w:val="7"/>
  </w:num>
  <w:num w:numId="21">
    <w:abstractNumId w:val="18"/>
  </w:num>
  <w:num w:numId="22">
    <w:abstractNumId w:val="14"/>
  </w:num>
  <w:num w:numId="23">
    <w:abstractNumId w:val="13"/>
  </w:num>
  <w:num w:numId="24">
    <w:abstractNumId w:val="28"/>
  </w:num>
  <w:num w:numId="25">
    <w:abstractNumId w:val="10"/>
  </w:num>
  <w:num w:numId="26">
    <w:abstractNumId w:val="1"/>
  </w:num>
  <w:num w:numId="27">
    <w:abstractNumId w:val="5"/>
  </w:num>
  <w:num w:numId="28">
    <w:abstractNumId w:val="27"/>
  </w:num>
  <w:num w:numId="29">
    <w:abstractNumId w:val="30"/>
  </w:num>
  <w:num w:numId="30">
    <w:abstractNumId w:val="15"/>
  </w:num>
  <w:num w:numId="31">
    <w:abstractNumId w:val="4"/>
  </w:num>
  <w:num w:numId="32">
    <w:abstractNumId w:val="0"/>
  </w:num>
  <w:num w:numId="33">
    <w:abstractNumId w:val="0"/>
  </w:num>
  <w:num w:numId="34">
    <w:abstractNumId w:val="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3D"/>
    <w:rsid w:val="00002888"/>
    <w:rsid w:val="00002FFB"/>
    <w:rsid w:val="00004C15"/>
    <w:rsid w:val="000055BB"/>
    <w:rsid w:val="00005D86"/>
    <w:rsid w:val="000072D4"/>
    <w:rsid w:val="00014B7B"/>
    <w:rsid w:val="00014FCF"/>
    <w:rsid w:val="0001676A"/>
    <w:rsid w:val="00017D32"/>
    <w:rsid w:val="000204CE"/>
    <w:rsid w:val="0002164C"/>
    <w:rsid w:val="00023CB3"/>
    <w:rsid w:val="00030C98"/>
    <w:rsid w:val="00031B01"/>
    <w:rsid w:val="000341F0"/>
    <w:rsid w:val="00037F8A"/>
    <w:rsid w:val="00051F5C"/>
    <w:rsid w:val="0005298A"/>
    <w:rsid w:val="00057ABC"/>
    <w:rsid w:val="00057B32"/>
    <w:rsid w:val="00061CD7"/>
    <w:rsid w:val="00062AC5"/>
    <w:rsid w:val="00066038"/>
    <w:rsid w:val="00076E38"/>
    <w:rsid w:val="00076E4D"/>
    <w:rsid w:val="000856DB"/>
    <w:rsid w:val="0009037A"/>
    <w:rsid w:val="00092DAF"/>
    <w:rsid w:val="000941DC"/>
    <w:rsid w:val="000A0256"/>
    <w:rsid w:val="000A066B"/>
    <w:rsid w:val="000A0FE0"/>
    <w:rsid w:val="000A6210"/>
    <w:rsid w:val="000B36D5"/>
    <w:rsid w:val="000B5AD4"/>
    <w:rsid w:val="000B5DF4"/>
    <w:rsid w:val="000B60D1"/>
    <w:rsid w:val="000B62E8"/>
    <w:rsid w:val="000B6B14"/>
    <w:rsid w:val="000C1056"/>
    <w:rsid w:val="000C48C1"/>
    <w:rsid w:val="000E2240"/>
    <w:rsid w:val="000E2664"/>
    <w:rsid w:val="000E2D36"/>
    <w:rsid w:val="000E5DC0"/>
    <w:rsid w:val="000F2AC2"/>
    <w:rsid w:val="000F602F"/>
    <w:rsid w:val="000F62BD"/>
    <w:rsid w:val="00101304"/>
    <w:rsid w:val="00104E54"/>
    <w:rsid w:val="00106D48"/>
    <w:rsid w:val="00112017"/>
    <w:rsid w:val="0011604B"/>
    <w:rsid w:val="001167B8"/>
    <w:rsid w:val="00117A7D"/>
    <w:rsid w:val="00120032"/>
    <w:rsid w:val="00124A68"/>
    <w:rsid w:val="00134FCB"/>
    <w:rsid w:val="00135CEB"/>
    <w:rsid w:val="00136B81"/>
    <w:rsid w:val="00141D83"/>
    <w:rsid w:val="00145E01"/>
    <w:rsid w:val="001461B8"/>
    <w:rsid w:val="0015286E"/>
    <w:rsid w:val="00152CBD"/>
    <w:rsid w:val="00156AD0"/>
    <w:rsid w:val="001571AD"/>
    <w:rsid w:val="00162708"/>
    <w:rsid w:val="00163E98"/>
    <w:rsid w:val="001739EB"/>
    <w:rsid w:val="00175BDC"/>
    <w:rsid w:val="00175C0D"/>
    <w:rsid w:val="00176223"/>
    <w:rsid w:val="001775EC"/>
    <w:rsid w:val="001853B3"/>
    <w:rsid w:val="00186238"/>
    <w:rsid w:val="001919F9"/>
    <w:rsid w:val="00193644"/>
    <w:rsid w:val="00194120"/>
    <w:rsid w:val="00194D59"/>
    <w:rsid w:val="0019707D"/>
    <w:rsid w:val="0019757F"/>
    <w:rsid w:val="001A4FDC"/>
    <w:rsid w:val="001A56C3"/>
    <w:rsid w:val="001A6C54"/>
    <w:rsid w:val="001A7315"/>
    <w:rsid w:val="001A7956"/>
    <w:rsid w:val="001B1712"/>
    <w:rsid w:val="001B5EC2"/>
    <w:rsid w:val="001B6721"/>
    <w:rsid w:val="001B79BA"/>
    <w:rsid w:val="001C3217"/>
    <w:rsid w:val="001D07EE"/>
    <w:rsid w:val="001E111B"/>
    <w:rsid w:val="001E225C"/>
    <w:rsid w:val="001E56B5"/>
    <w:rsid w:val="001E580E"/>
    <w:rsid w:val="001F221D"/>
    <w:rsid w:val="00202C57"/>
    <w:rsid w:val="00204CAD"/>
    <w:rsid w:val="002102D6"/>
    <w:rsid w:val="002113C7"/>
    <w:rsid w:val="00213852"/>
    <w:rsid w:val="00214330"/>
    <w:rsid w:val="00216A7A"/>
    <w:rsid w:val="002212CC"/>
    <w:rsid w:val="00223500"/>
    <w:rsid w:val="0022584C"/>
    <w:rsid w:val="00230E7A"/>
    <w:rsid w:val="0023357B"/>
    <w:rsid w:val="00235797"/>
    <w:rsid w:val="002362EF"/>
    <w:rsid w:val="002430BC"/>
    <w:rsid w:val="00243289"/>
    <w:rsid w:val="00244B90"/>
    <w:rsid w:val="002451D5"/>
    <w:rsid w:val="0024546D"/>
    <w:rsid w:val="0025070D"/>
    <w:rsid w:val="002511F3"/>
    <w:rsid w:val="00251420"/>
    <w:rsid w:val="00252943"/>
    <w:rsid w:val="002549CA"/>
    <w:rsid w:val="00254DED"/>
    <w:rsid w:val="00261076"/>
    <w:rsid w:val="00261EBF"/>
    <w:rsid w:val="002620AB"/>
    <w:rsid w:val="00262342"/>
    <w:rsid w:val="00262ECA"/>
    <w:rsid w:val="0026358B"/>
    <w:rsid w:val="00265697"/>
    <w:rsid w:val="00272B42"/>
    <w:rsid w:val="00274624"/>
    <w:rsid w:val="002854E8"/>
    <w:rsid w:val="00287E1A"/>
    <w:rsid w:val="00294642"/>
    <w:rsid w:val="002B3708"/>
    <w:rsid w:val="002B37FC"/>
    <w:rsid w:val="002B46AA"/>
    <w:rsid w:val="002B56EF"/>
    <w:rsid w:val="002B7623"/>
    <w:rsid w:val="002C07C4"/>
    <w:rsid w:val="002C0C6A"/>
    <w:rsid w:val="002C5124"/>
    <w:rsid w:val="002D3F33"/>
    <w:rsid w:val="002D3F86"/>
    <w:rsid w:val="002D79A4"/>
    <w:rsid w:val="002E2500"/>
    <w:rsid w:val="002E257A"/>
    <w:rsid w:val="002E6235"/>
    <w:rsid w:val="002E6CB9"/>
    <w:rsid w:val="002E6D0C"/>
    <w:rsid w:val="002E7C98"/>
    <w:rsid w:val="002F2037"/>
    <w:rsid w:val="002F3384"/>
    <w:rsid w:val="002F3C35"/>
    <w:rsid w:val="002F761E"/>
    <w:rsid w:val="00301797"/>
    <w:rsid w:val="00303FC0"/>
    <w:rsid w:val="00304970"/>
    <w:rsid w:val="00307FBC"/>
    <w:rsid w:val="00315650"/>
    <w:rsid w:val="003164CA"/>
    <w:rsid w:val="00317EA7"/>
    <w:rsid w:val="003212E1"/>
    <w:rsid w:val="003256EE"/>
    <w:rsid w:val="003308A5"/>
    <w:rsid w:val="00331622"/>
    <w:rsid w:val="00333C54"/>
    <w:rsid w:val="003344DA"/>
    <w:rsid w:val="003373D9"/>
    <w:rsid w:val="003401FA"/>
    <w:rsid w:val="003418AB"/>
    <w:rsid w:val="00342ACD"/>
    <w:rsid w:val="00347F74"/>
    <w:rsid w:val="00350FB1"/>
    <w:rsid w:val="00352BFC"/>
    <w:rsid w:val="00353342"/>
    <w:rsid w:val="0035504D"/>
    <w:rsid w:val="003564A8"/>
    <w:rsid w:val="00357915"/>
    <w:rsid w:val="00362E09"/>
    <w:rsid w:val="003676F9"/>
    <w:rsid w:val="00367EA5"/>
    <w:rsid w:val="003732E0"/>
    <w:rsid w:val="00373C31"/>
    <w:rsid w:val="0038155F"/>
    <w:rsid w:val="00385AFF"/>
    <w:rsid w:val="00390748"/>
    <w:rsid w:val="0039394F"/>
    <w:rsid w:val="003A06AA"/>
    <w:rsid w:val="003A3362"/>
    <w:rsid w:val="003B0D8D"/>
    <w:rsid w:val="003B0DFA"/>
    <w:rsid w:val="003B1639"/>
    <w:rsid w:val="003B3CE1"/>
    <w:rsid w:val="003B7AAF"/>
    <w:rsid w:val="003C110D"/>
    <w:rsid w:val="003C1846"/>
    <w:rsid w:val="003C27E7"/>
    <w:rsid w:val="003C371B"/>
    <w:rsid w:val="003C3BBE"/>
    <w:rsid w:val="003C3F74"/>
    <w:rsid w:val="003C5A42"/>
    <w:rsid w:val="003C5DA2"/>
    <w:rsid w:val="003D498D"/>
    <w:rsid w:val="003F15F5"/>
    <w:rsid w:val="003F3288"/>
    <w:rsid w:val="003F4EF4"/>
    <w:rsid w:val="003F6CA8"/>
    <w:rsid w:val="004053A4"/>
    <w:rsid w:val="0040593B"/>
    <w:rsid w:val="0040611A"/>
    <w:rsid w:val="00406E67"/>
    <w:rsid w:val="004110BD"/>
    <w:rsid w:val="00414073"/>
    <w:rsid w:val="00440533"/>
    <w:rsid w:val="00440E1D"/>
    <w:rsid w:val="004410A0"/>
    <w:rsid w:val="00442725"/>
    <w:rsid w:val="00443463"/>
    <w:rsid w:val="00444519"/>
    <w:rsid w:val="0045516B"/>
    <w:rsid w:val="00461EB6"/>
    <w:rsid w:val="00464D41"/>
    <w:rsid w:val="0047063D"/>
    <w:rsid w:val="0047261A"/>
    <w:rsid w:val="004734E5"/>
    <w:rsid w:val="0047657A"/>
    <w:rsid w:val="00477566"/>
    <w:rsid w:val="00480FA2"/>
    <w:rsid w:val="00484073"/>
    <w:rsid w:val="004A1BA2"/>
    <w:rsid w:val="004A3072"/>
    <w:rsid w:val="004A5C05"/>
    <w:rsid w:val="004B028D"/>
    <w:rsid w:val="004B0FB1"/>
    <w:rsid w:val="004B4823"/>
    <w:rsid w:val="004B4DFA"/>
    <w:rsid w:val="004C081C"/>
    <w:rsid w:val="004C48BD"/>
    <w:rsid w:val="004C5334"/>
    <w:rsid w:val="004D1F5F"/>
    <w:rsid w:val="004D3846"/>
    <w:rsid w:val="004D7F50"/>
    <w:rsid w:val="004E7F67"/>
    <w:rsid w:val="004F1305"/>
    <w:rsid w:val="00512480"/>
    <w:rsid w:val="0051318D"/>
    <w:rsid w:val="00514740"/>
    <w:rsid w:val="00514984"/>
    <w:rsid w:val="00521CDD"/>
    <w:rsid w:val="005260DA"/>
    <w:rsid w:val="005266E1"/>
    <w:rsid w:val="00526AF9"/>
    <w:rsid w:val="00531BAF"/>
    <w:rsid w:val="00532029"/>
    <w:rsid w:val="005332C1"/>
    <w:rsid w:val="00536114"/>
    <w:rsid w:val="00536332"/>
    <w:rsid w:val="00536580"/>
    <w:rsid w:val="00536E0F"/>
    <w:rsid w:val="00540583"/>
    <w:rsid w:val="005446ED"/>
    <w:rsid w:val="00546842"/>
    <w:rsid w:val="00547EF2"/>
    <w:rsid w:val="0055293D"/>
    <w:rsid w:val="00560533"/>
    <w:rsid w:val="0056342C"/>
    <w:rsid w:val="00570602"/>
    <w:rsid w:val="00573ABF"/>
    <w:rsid w:val="005823B8"/>
    <w:rsid w:val="00583162"/>
    <w:rsid w:val="00587DFE"/>
    <w:rsid w:val="00590710"/>
    <w:rsid w:val="005A5899"/>
    <w:rsid w:val="005A6281"/>
    <w:rsid w:val="005B0090"/>
    <w:rsid w:val="005B1219"/>
    <w:rsid w:val="005C09E5"/>
    <w:rsid w:val="005C0A22"/>
    <w:rsid w:val="005C5E57"/>
    <w:rsid w:val="005C6E20"/>
    <w:rsid w:val="005D2D31"/>
    <w:rsid w:val="005D536B"/>
    <w:rsid w:val="005D6D4E"/>
    <w:rsid w:val="005D6F34"/>
    <w:rsid w:val="005E0712"/>
    <w:rsid w:val="005E2D47"/>
    <w:rsid w:val="005E5054"/>
    <w:rsid w:val="006013E4"/>
    <w:rsid w:val="0060213A"/>
    <w:rsid w:val="006051AE"/>
    <w:rsid w:val="00611309"/>
    <w:rsid w:val="00613E9B"/>
    <w:rsid w:val="00617CE4"/>
    <w:rsid w:val="006202F5"/>
    <w:rsid w:val="00621390"/>
    <w:rsid w:val="00627BCE"/>
    <w:rsid w:val="0063225E"/>
    <w:rsid w:val="006338D2"/>
    <w:rsid w:val="00633C30"/>
    <w:rsid w:val="006354E3"/>
    <w:rsid w:val="00636440"/>
    <w:rsid w:val="0063686A"/>
    <w:rsid w:val="00640511"/>
    <w:rsid w:val="0064443C"/>
    <w:rsid w:val="006456B8"/>
    <w:rsid w:val="00645D5A"/>
    <w:rsid w:val="00647EAE"/>
    <w:rsid w:val="006505B9"/>
    <w:rsid w:val="00655C05"/>
    <w:rsid w:val="0066367C"/>
    <w:rsid w:val="006714E0"/>
    <w:rsid w:val="00672325"/>
    <w:rsid w:val="0067424A"/>
    <w:rsid w:val="00674EFA"/>
    <w:rsid w:val="0068283D"/>
    <w:rsid w:val="0068352A"/>
    <w:rsid w:val="006855A5"/>
    <w:rsid w:val="0069169A"/>
    <w:rsid w:val="00693CAE"/>
    <w:rsid w:val="006A2882"/>
    <w:rsid w:val="006B2791"/>
    <w:rsid w:val="006B35E8"/>
    <w:rsid w:val="006B39F5"/>
    <w:rsid w:val="006C2620"/>
    <w:rsid w:val="006C43A0"/>
    <w:rsid w:val="006C51C6"/>
    <w:rsid w:val="006C7EE5"/>
    <w:rsid w:val="006D21EB"/>
    <w:rsid w:val="006D3374"/>
    <w:rsid w:val="006D43F2"/>
    <w:rsid w:val="006D51D3"/>
    <w:rsid w:val="006D5726"/>
    <w:rsid w:val="006D665E"/>
    <w:rsid w:val="006E4BA6"/>
    <w:rsid w:val="006E6D2B"/>
    <w:rsid w:val="006F25E3"/>
    <w:rsid w:val="006F3E52"/>
    <w:rsid w:val="006F41E1"/>
    <w:rsid w:val="00706A0A"/>
    <w:rsid w:val="00707274"/>
    <w:rsid w:val="007119FF"/>
    <w:rsid w:val="007120B2"/>
    <w:rsid w:val="00720539"/>
    <w:rsid w:val="007222CE"/>
    <w:rsid w:val="0073720F"/>
    <w:rsid w:val="007374D5"/>
    <w:rsid w:val="00740FD6"/>
    <w:rsid w:val="00743B71"/>
    <w:rsid w:val="00744770"/>
    <w:rsid w:val="00744E3B"/>
    <w:rsid w:val="0074710D"/>
    <w:rsid w:val="00751E0C"/>
    <w:rsid w:val="00754599"/>
    <w:rsid w:val="0075712C"/>
    <w:rsid w:val="0076748F"/>
    <w:rsid w:val="007674E3"/>
    <w:rsid w:val="00767FCB"/>
    <w:rsid w:val="0077001E"/>
    <w:rsid w:val="007746A2"/>
    <w:rsid w:val="00774F29"/>
    <w:rsid w:val="00775AE3"/>
    <w:rsid w:val="00780DA5"/>
    <w:rsid w:val="00782231"/>
    <w:rsid w:val="00782FEA"/>
    <w:rsid w:val="00786036"/>
    <w:rsid w:val="007933E7"/>
    <w:rsid w:val="007A046B"/>
    <w:rsid w:val="007A1699"/>
    <w:rsid w:val="007A5B4F"/>
    <w:rsid w:val="007A6468"/>
    <w:rsid w:val="007A7FDB"/>
    <w:rsid w:val="007B2D57"/>
    <w:rsid w:val="007B4E1B"/>
    <w:rsid w:val="007C4060"/>
    <w:rsid w:val="007C6349"/>
    <w:rsid w:val="007C79B6"/>
    <w:rsid w:val="007D32F7"/>
    <w:rsid w:val="007D4171"/>
    <w:rsid w:val="007D79BE"/>
    <w:rsid w:val="007E1F8D"/>
    <w:rsid w:val="008061DB"/>
    <w:rsid w:val="00817499"/>
    <w:rsid w:val="00817BC7"/>
    <w:rsid w:val="008232B0"/>
    <w:rsid w:val="00824A4F"/>
    <w:rsid w:val="00824E11"/>
    <w:rsid w:val="008255AA"/>
    <w:rsid w:val="00827371"/>
    <w:rsid w:val="00830299"/>
    <w:rsid w:val="00831AEB"/>
    <w:rsid w:val="008331D3"/>
    <w:rsid w:val="008333EC"/>
    <w:rsid w:val="00834119"/>
    <w:rsid w:val="0083479D"/>
    <w:rsid w:val="0083580D"/>
    <w:rsid w:val="008358AC"/>
    <w:rsid w:val="00840A85"/>
    <w:rsid w:val="00841F66"/>
    <w:rsid w:val="00842E17"/>
    <w:rsid w:val="00843032"/>
    <w:rsid w:val="00852681"/>
    <w:rsid w:val="00854095"/>
    <w:rsid w:val="0085497E"/>
    <w:rsid w:val="00857ADC"/>
    <w:rsid w:val="0086606B"/>
    <w:rsid w:val="008707A9"/>
    <w:rsid w:val="00872E92"/>
    <w:rsid w:val="0087563A"/>
    <w:rsid w:val="008773BF"/>
    <w:rsid w:val="00881D2B"/>
    <w:rsid w:val="0088677C"/>
    <w:rsid w:val="00887FBC"/>
    <w:rsid w:val="00893C8C"/>
    <w:rsid w:val="0089502E"/>
    <w:rsid w:val="00896326"/>
    <w:rsid w:val="00897FE0"/>
    <w:rsid w:val="008A3E12"/>
    <w:rsid w:val="008A59CE"/>
    <w:rsid w:val="008A5D9D"/>
    <w:rsid w:val="008B1382"/>
    <w:rsid w:val="008B25DC"/>
    <w:rsid w:val="008C6027"/>
    <w:rsid w:val="008C610E"/>
    <w:rsid w:val="008D5D89"/>
    <w:rsid w:val="008E24A6"/>
    <w:rsid w:val="008E28A1"/>
    <w:rsid w:val="008E3118"/>
    <w:rsid w:val="008E684D"/>
    <w:rsid w:val="008F041D"/>
    <w:rsid w:val="008F1B02"/>
    <w:rsid w:val="008F29EB"/>
    <w:rsid w:val="008F7366"/>
    <w:rsid w:val="008F7AB0"/>
    <w:rsid w:val="009002E1"/>
    <w:rsid w:val="00903D5A"/>
    <w:rsid w:val="00914429"/>
    <w:rsid w:val="00917C3F"/>
    <w:rsid w:val="00917FD6"/>
    <w:rsid w:val="00920E5B"/>
    <w:rsid w:val="00921E73"/>
    <w:rsid w:val="00922843"/>
    <w:rsid w:val="009273AA"/>
    <w:rsid w:val="009307FD"/>
    <w:rsid w:val="00931FBE"/>
    <w:rsid w:val="00932543"/>
    <w:rsid w:val="009344D8"/>
    <w:rsid w:val="0093659A"/>
    <w:rsid w:val="00937F43"/>
    <w:rsid w:val="00945004"/>
    <w:rsid w:val="009456FA"/>
    <w:rsid w:val="00946C70"/>
    <w:rsid w:val="009523A4"/>
    <w:rsid w:val="00952C70"/>
    <w:rsid w:val="00954AB2"/>
    <w:rsid w:val="00963889"/>
    <w:rsid w:val="009658CF"/>
    <w:rsid w:val="0097037A"/>
    <w:rsid w:val="00971007"/>
    <w:rsid w:val="00972473"/>
    <w:rsid w:val="00981550"/>
    <w:rsid w:val="00982D0A"/>
    <w:rsid w:val="00984F91"/>
    <w:rsid w:val="0099062A"/>
    <w:rsid w:val="00992FA2"/>
    <w:rsid w:val="009979F8"/>
    <w:rsid w:val="009A0DAC"/>
    <w:rsid w:val="009A0EED"/>
    <w:rsid w:val="009A3E75"/>
    <w:rsid w:val="009A46D0"/>
    <w:rsid w:val="009A7086"/>
    <w:rsid w:val="009B0C98"/>
    <w:rsid w:val="009B6ADC"/>
    <w:rsid w:val="009B6FA2"/>
    <w:rsid w:val="009B785A"/>
    <w:rsid w:val="009B7A94"/>
    <w:rsid w:val="009C3408"/>
    <w:rsid w:val="009C387C"/>
    <w:rsid w:val="009C3F00"/>
    <w:rsid w:val="009C551C"/>
    <w:rsid w:val="009C691E"/>
    <w:rsid w:val="009D0332"/>
    <w:rsid w:val="009D11DC"/>
    <w:rsid w:val="009E5306"/>
    <w:rsid w:val="009E6824"/>
    <w:rsid w:val="009F15AA"/>
    <w:rsid w:val="009F6BE2"/>
    <w:rsid w:val="009F7F8C"/>
    <w:rsid w:val="00A0144C"/>
    <w:rsid w:val="00A01CCA"/>
    <w:rsid w:val="00A137D1"/>
    <w:rsid w:val="00A1697D"/>
    <w:rsid w:val="00A25AE5"/>
    <w:rsid w:val="00A274B1"/>
    <w:rsid w:val="00A35B36"/>
    <w:rsid w:val="00A407AB"/>
    <w:rsid w:val="00A4130A"/>
    <w:rsid w:val="00A42701"/>
    <w:rsid w:val="00A52BD1"/>
    <w:rsid w:val="00A53AFD"/>
    <w:rsid w:val="00A57025"/>
    <w:rsid w:val="00A64CA4"/>
    <w:rsid w:val="00A6518F"/>
    <w:rsid w:val="00A65993"/>
    <w:rsid w:val="00A67E99"/>
    <w:rsid w:val="00A723AE"/>
    <w:rsid w:val="00A72B8C"/>
    <w:rsid w:val="00A73FB5"/>
    <w:rsid w:val="00A74965"/>
    <w:rsid w:val="00A81A54"/>
    <w:rsid w:val="00A921FA"/>
    <w:rsid w:val="00AA1CFE"/>
    <w:rsid w:val="00AA3F5F"/>
    <w:rsid w:val="00AA78D1"/>
    <w:rsid w:val="00AB13C4"/>
    <w:rsid w:val="00AC06F4"/>
    <w:rsid w:val="00AC207B"/>
    <w:rsid w:val="00AD6780"/>
    <w:rsid w:val="00AD7778"/>
    <w:rsid w:val="00AE2DA0"/>
    <w:rsid w:val="00AE2DAD"/>
    <w:rsid w:val="00AE79E2"/>
    <w:rsid w:val="00AF3F6E"/>
    <w:rsid w:val="00AF47B6"/>
    <w:rsid w:val="00AF7E24"/>
    <w:rsid w:val="00B01329"/>
    <w:rsid w:val="00B04FF3"/>
    <w:rsid w:val="00B072A3"/>
    <w:rsid w:val="00B15524"/>
    <w:rsid w:val="00B162FF"/>
    <w:rsid w:val="00B207E7"/>
    <w:rsid w:val="00B210D8"/>
    <w:rsid w:val="00B23106"/>
    <w:rsid w:val="00B245E3"/>
    <w:rsid w:val="00B25516"/>
    <w:rsid w:val="00B323B0"/>
    <w:rsid w:val="00B3309E"/>
    <w:rsid w:val="00B35A2C"/>
    <w:rsid w:val="00B36BBA"/>
    <w:rsid w:val="00B40014"/>
    <w:rsid w:val="00B4225A"/>
    <w:rsid w:val="00B44E0F"/>
    <w:rsid w:val="00B45B88"/>
    <w:rsid w:val="00B47FEA"/>
    <w:rsid w:val="00B5014E"/>
    <w:rsid w:val="00B50CA2"/>
    <w:rsid w:val="00B5391B"/>
    <w:rsid w:val="00B53988"/>
    <w:rsid w:val="00B53A96"/>
    <w:rsid w:val="00B65B55"/>
    <w:rsid w:val="00B67ED1"/>
    <w:rsid w:val="00B73DA3"/>
    <w:rsid w:val="00B746EF"/>
    <w:rsid w:val="00B751E6"/>
    <w:rsid w:val="00B7548E"/>
    <w:rsid w:val="00B756C5"/>
    <w:rsid w:val="00B823A3"/>
    <w:rsid w:val="00B82E09"/>
    <w:rsid w:val="00B83AFB"/>
    <w:rsid w:val="00B863FA"/>
    <w:rsid w:val="00B9122D"/>
    <w:rsid w:val="00B93D4D"/>
    <w:rsid w:val="00B97693"/>
    <w:rsid w:val="00BA5367"/>
    <w:rsid w:val="00BB05B8"/>
    <w:rsid w:val="00BB0A59"/>
    <w:rsid w:val="00BB1095"/>
    <w:rsid w:val="00BB3215"/>
    <w:rsid w:val="00BB5378"/>
    <w:rsid w:val="00BB7689"/>
    <w:rsid w:val="00BC2FB7"/>
    <w:rsid w:val="00BC3D1E"/>
    <w:rsid w:val="00BC750B"/>
    <w:rsid w:val="00BD0BD7"/>
    <w:rsid w:val="00BD647E"/>
    <w:rsid w:val="00BD78D5"/>
    <w:rsid w:val="00BE2BD3"/>
    <w:rsid w:val="00BE6514"/>
    <w:rsid w:val="00BE7A87"/>
    <w:rsid w:val="00BF12BB"/>
    <w:rsid w:val="00BF1BFE"/>
    <w:rsid w:val="00BF3732"/>
    <w:rsid w:val="00BF6799"/>
    <w:rsid w:val="00C050B2"/>
    <w:rsid w:val="00C068CB"/>
    <w:rsid w:val="00C069D2"/>
    <w:rsid w:val="00C1356E"/>
    <w:rsid w:val="00C150F4"/>
    <w:rsid w:val="00C20BED"/>
    <w:rsid w:val="00C269FC"/>
    <w:rsid w:val="00C302F9"/>
    <w:rsid w:val="00C350D4"/>
    <w:rsid w:val="00C36549"/>
    <w:rsid w:val="00C4186F"/>
    <w:rsid w:val="00C445CE"/>
    <w:rsid w:val="00C45FF9"/>
    <w:rsid w:val="00C476A3"/>
    <w:rsid w:val="00C502F7"/>
    <w:rsid w:val="00C50F78"/>
    <w:rsid w:val="00C51D29"/>
    <w:rsid w:val="00C6135C"/>
    <w:rsid w:val="00C61642"/>
    <w:rsid w:val="00C66CBA"/>
    <w:rsid w:val="00C73542"/>
    <w:rsid w:val="00C73F09"/>
    <w:rsid w:val="00C74361"/>
    <w:rsid w:val="00C74E4A"/>
    <w:rsid w:val="00C763DF"/>
    <w:rsid w:val="00C77DF3"/>
    <w:rsid w:val="00C87279"/>
    <w:rsid w:val="00C9025C"/>
    <w:rsid w:val="00C946F2"/>
    <w:rsid w:val="00CA1812"/>
    <w:rsid w:val="00CA192E"/>
    <w:rsid w:val="00CA23D3"/>
    <w:rsid w:val="00CB0583"/>
    <w:rsid w:val="00CB0D13"/>
    <w:rsid w:val="00CB3F8F"/>
    <w:rsid w:val="00CB4F8D"/>
    <w:rsid w:val="00CB5C0E"/>
    <w:rsid w:val="00CB660B"/>
    <w:rsid w:val="00CC01F8"/>
    <w:rsid w:val="00CC3428"/>
    <w:rsid w:val="00CC61B7"/>
    <w:rsid w:val="00CC6C42"/>
    <w:rsid w:val="00CE2F8A"/>
    <w:rsid w:val="00CE5693"/>
    <w:rsid w:val="00CF02B0"/>
    <w:rsid w:val="00CF054B"/>
    <w:rsid w:val="00CF1AA6"/>
    <w:rsid w:val="00CF40CF"/>
    <w:rsid w:val="00D0166D"/>
    <w:rsid w:val="00D01959"/>
    <w:rsid w:val="00D05BE5"/>
    <w:rsid w:val="00D076B1"/>
    <w:rsid w:val="00D11911"/>
    <w:rsid w:val="00D11CC1"/>
    <w:rsid w:val="00D12876"/>
    <w:rsid w:val="00D13C04"/>
    <w:rsid w:val="00D15947"/>
    <w:rsid w:val="00D2036A"/>
    <w:rsid w:val="00D250C8"/>
    <w:rsid w:val="00D25529"/>
    <w:rsid w:val="00D35B7C"/>
    <w:rsid w:val="00D41BC7"/>
    <w:rsid w:val="00D433B6"/>
    <w:rsid w:val="00D54626"/>
    <w:rsid w:val="00D57D48"/>
    <w:rsid w:val="00D630BD"/>
    <w:rsid w:val="00D63DCD"/>
    <w:rsid w:val="00D67B31"/>
    <w:rsid w:val="00D74892"/>
    <w:rsid w:val="00D80333"/>
    <w:rsid w:val="00D80B8C"/>
    <w:rsid w:val="00D822C4"/>
    <w:rsid w:val="00D90BC5"/>
    <w:rsid w:val="00D971C8"/>
    <w:rsid w:val="00D97DC4"/>
    <w:rsid w:val="00DA056A"/>
    <w:rsid w:val="00DA0D47"/>
    <w:rsid w:val="00DA24AD"/>
    <w:rsid w:val="00DA5359"/>
    <w:rsid w:val="00DA587E"/>
    <w:rsid w:val="00DB43F9"/>
    <w:rsid w:val="00DB577D"/>
    <w:rsid w:val="00DC1ACF"/>
    <w:rsid w:val="00DC573C"/>
    <w:rsid w:val="00DC6D7A"/>
    <w:rsid w:val="00DD2717"/>
    <w:rsid w:val="00DD2D97"/>
    <w:rsid w:val="00DD61C9"/>
    <w:rsid w:val="00DD6AC7"/>
    <w:rsid w:val="00DD76A8"/>
    <w:rsid w:val="00DE1FB5"/>
    <w:rsid w:val="00DE49E2"/>
    <w:rsid w:val="00DF0A62"/>
    <w:rsid w:val="00DF3340"/>
    <w:rsid w:val="00DF4479"/>
    <w:rsid w:val="00DF5AA8"/>
    <w:rsid w:val="00DF60CA"/>
    <w:rsid w:val="00DF69FE"/>
    <w:rsid w:val="00DF77C8"/>
    <w:rsid w:val="00E02C12"/>
    <w:rsid w:val="00E05500"/>
    <w:rsid w:val="00E07F11"/>
    <w:rsid w:val="00E105D2"/>
    <w:rsid w:val="00E145EE"/>
    <w:rsid w:val="00E23020"/>
    <w:rsid w:val="00E24C2F"/>
    <w:rsid w:val="00E2518F"/>
    <w:rsid w:val="00E27618"/>
    <w:rsid w:val="00E30863"/>
    <w:rsid w:val="00E333B2"/>
    <w:rsid w:val="00E334BB"/>
    <w:rsid w:val="00E3405B"/>
    <w:rsid w:val="00E351B9"/>
    <w:rsid w:val="00E35790"/>
    <w:rsid w:val="00E40BE8"/>
    <w:rsid w:val="00E464E6"/>
    <w:rsid w:val="00E51157"/>
    <w:rsid w:val="00E51244"/>
    <w:rsid w:val="00E62DFF"/>
    <w:rsid w:val="00E647D1"/>
    <w:rsid w:val="00E72692"/>
    <w:rsid w:val="00E73053"/>
    <w:rsid w:val="00E74843"/>
    <w:rsid w:val="00E80514"/>
    <w:rsid w:val="00E85967"/>
    <w:rsid w:val="00E85F12"/>
    <w:rsid w:val="00E8605F"/>
    <w:rsid w:val="00E94FC4"/>
    <w:rsid w:val="00E95024"/>
    <w:rsid w:val="00E97C71"/>
    <w:rsid w:val="00EA09E5"/>
    <w:rsid w:val="00EA27A7"/>
    <w:rsid w:val="00EA4AB5"/>
    <w:rsid w:val="00EA5196"/>
    <w:rsid w:val="00EA5783"/>
    <w:rsid w:val="00EA6301"/>
    <w:rsid w:val="00EA7BB6"/>
    <w:rsid w:val="00EB02DE"/>
    <w:rsid w:val="00EB1B06"/>
    <w:rsid w:val="00EB5A91"/>
    <w:rsid w:val="00EB66CE"/>
    <w:rsid w:val="00EC1F19"/>
    <w:rsid w:val="00EC3465"/>
    <w:rsid w:val="00EC362A"/>
    <w:rsid w:val="00EC3C34"/>
    <w:rsid w:val="00EC418F"/>
    <w:rsid w:val="00ED1171"/>
    <w:rsid w:val="00ED18E5"/>
    <w:rsid w:val="00ED5CE8"/>
    <w:rsid w:val="00EE5979"/>
    <w:rsid w:val="00EE5A6D"/>
    <w:rsid w:val="00EE69E2"/>
    <w:rsid w:val="00EF33C9"/>
    <w:rsid w:val="00EF4B80"/>
    <w:rsid w:val="00EF6494"/>
    <w:rsid w:val="00F02239"/>
    <w:rsid w:val="00F05B88"/>
    <w:rsid w:val="00F06B07"/>
    <w:rsid w:val="00F06FF7"/>
    <w:rsid w:val="00F11A30"/>
    <w:rsid w:val="00F12312"/>
    <w:rsid w:val="00F145E8"/>
    <w:rsid w:val="00F1734F"/>
    <w:rsid w:val="00F17EDB"/>
    <w:rsid w:val="00F22B4B"/>
    <w:rsid w:val="00F22B6C"/>
    <w:rsid w:val="00F249F6"/>
    <w:rsid w:val="00F255E8"/>
    <w:rsid w:val="00F2576B"/>
    <w:rsid w:val="00F37C53"/>
    <w:rsid w:val="00F37FE7"/>
    <w:rsid w:val="00F41778"/>
    <w:rsid w:val="00F442AF"/>
    <w:rsid w:val="00F46943"/>
    <w:rsid w:val="00F46C90"/>
    <w:rsid w:val="00F518DA"/>
    <w:rsid w:val="00F52B86"/>
    <w:rsid w:val="00F56677"/>
    <w:rsid w:val="00F56BDB"/>
    <w:rsid w:val="00F620A6"/>
    <w:rsid w:val="00F63BAE"/>
    <w:rsid w:val="00F6423D"/>
    <w:rsid w:val="00F6488C"/>
    <w:rsid w:val="00F702C6"/>
    <w:rsid w:val="00F71A05"/>
    <w:rsid w:val="00F7250F"/>
    <w:rsid w:val="00F73350"/>
    <w:rsid w:val="00F76CEE"/>
    <w:rsid w:val="00F773F6"/>
    <w:rsid w:val="00F809CD"/>
    <w:rsid w:val="00F83F72"/>
    <w:rsid w:val="00F85701"/>
    <w:rsid w:val="00F8586C"/>
    <w:rsid w:val="00F86599"/>
    <w:rsid w:val="00F93CBD"/>
    <w:rsid w:val="00F93EBB"/>
    <w:rsid w:val="00F96381"/>
    <w:rsid w:val="00FA233F"/>
    <w:rsid w:val="00FA4668"/>
    <w:rsid w:val="00FB45B7"/>
    <w:rsid w:val="00FC2AAB"/>
    <w:rsid w:val="00FC409E"/>
    <w:rsid w:val="00FC43F1"/>
    <w:rsid w:val="00FC4D5F"/>
    <w:rsid w:val="00FC54A9"/>
    <w:rsid w:val="00FC5FF0"/>
    <w:rsid w:val="00FD0DC1"/>
    <w:rsid w:val="00FD71E7"/>
    <w:rsid w:val="00FE10BF"/>
    <w:rsid w:val="00FE2914"/>
    <w:rsid w:val="00FE3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2C5B8F8E-6803-4BB6-BED2-60C61E7E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3D"/>
    <w:rPr>
      <w:rFonts w:ascii="Calibri" w:eastAsia="Calibri" w:hAnsi="Calibri"/>
      <w:sz w:val="22"/>
      <w:szCs w:val="22"/>
    </w:rPr>
  </w:style>
  <w:style w:type="paragraph" w:styleId="Heading1">
    <w:name w:val="heading 1"/>
    <w:basedOn w:val="Normal"/>
    <w:next w:val="Normal"/>
    <w:link w:val="Heading1Char"/>
    <w:qFormat/>
    <w:rsid w:val="00061CD7"/>
    <w:pPr>
      <w:keepNext/>
      <w:numPr>
        <w:numId w:val="3"/>
      </w:numPr>
      <w:spacing w:after="0" w:line="480" w:lineRule="auto"/>
      <w:jc w:val="both"/>
      <w:outlineLvl w:val="0"/>
    </w:pPr>
    <w:rPr>
      <w:rFonts w:ascii="Times New Roman" w:eastAsia="Times New Roman" w:hAnsi="Times New Roman"/>
      <w:i/>
      <w:iCs/>
      <w:sz w:val="24"/>
      <w:szCs w:val="24"/>
    </w:rPr>
  </w:style>
  <w:style w:type="paragraph" w:styleId="Heading2">
    <w:name w:val="heading 2"/>
    <w:basedOn w:val="Normal"/>
    <w:next w:val="Normal"/>
    <w:link w:val="Heading2Char"/>
    <w:qFormat/>
    <w:rsid w:val="00061CD7"/>
    <w:pPr>
      <w:keepNext/>
      <w:numPr>
        <w:ilvl w:val="1"/>
        <w:numId w:val="3"/>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E333B2"/>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53342"/>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53342"/>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53342"/>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53342"/>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5334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334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63D"/>
    <w:pPr>
      <w:ind w:left="720"/>
      <w:contextualSpacing/>
    </w:pPr>
  </w:style>
  <w:style w:type="paragraph" w:styleId="FootnoteText">
    <w:name w:val="footnote text"/>
    <w:aliases w:val="FT"/>
    <w:basedOn w:val="Normal"/>
    <w:link w:val="FootnoteTextChar"/>
    <w:uiPriority w:val="99"/>
    <w:unhideWhenUsed/>
    <w:rsid w:val="0047063D"/>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47063D"/>
    <w:rPr>
      <w:rFonts w:ascii="Calibri" w:eastAsia="Calibri" w:hAnsi="Calibri"/>
      <w:sz w:val="20"/>
      <w:szCs w:val="20"/>
    </w:rPr>
  </w:style>
  <w:style w:type="character" w:styleId="FootnoteReference">
    <w:name w:val="footnote reference"/>
    <w:uiPriority w:val="99"/>
    <w:unhideWhenUsed/>
    <w:rsid w:val="0047063D"/>
    <w:rPr>
      <w:vertAlign w:val="superscript"/>
    </w:rPr>
  </w:style>
  <w:style w:type="character" w:styleId="Hyperlink">
    <w:name w:val="Hyperlink"/>
    <w:uiPriority w:val="99"/>
    <w:unhideWhenUsed/>
    <w:rsid w:val="0047063D"/>
    <w:rPr>
      <w:color w:val="0563C1"/>
      <w:u w:val="single"/>
    </w:rPr>
  </w:style>
  <w:style w:type="character" w:customStyle="1" w:styleId="Heading1Char">
    <w:name w:val="Heading 1 Char"/>
    <w:basedOn w:val="DefaultParagraphFont"/>
    <w:link w:val="Heading1"/>
    <w:rsid w:val="00061CD7"/>
    <w:rPr>
      <w:rFonts w:eastAsia="Times New Roman"/>
      <w:i/>
      <w:iCs/>
    </w:rPr>
  </w:style>
  <w:style w:type="character" w:customStyle="1" w:styleId="Heading2Char">
    <w:name w:val="Heading 2 Char"/>
    <w:basedOn w:val="DefaultParagraphFont"/>
    <w:link w:val="Heading2"/>
    <w:rsid w:val="00061CD7"/>
    <w:rPr>
      <w:rFonts w:ascii="Arial" w:eastAsia="Times New Roman" w:hAnsi="Arial" w:cs="Arial"/>
      <w:b/>
      <w:bCs/>
      <w:i/>
      <w:iCs/>
      <w:sz w:val="28"/>
      <w:szCs w:val="28"/>
    </w:rPr>
  </w:style>
  <w:style w:type="paragraph" w:styleId="NoSpacing">
    <w:name w:val="No Spacing"/>
    <w:uiPriority w:val="1"/>
    <w:qFormat/>
    <w:rsid w:val="00061CD7"/>
    <w:pPr>
      <w:spacing w:after="0" w:line="240" w:lineRule="auto"/>
    </w:pPr>
    <w:rPr>
      <w:rFonts w:asciiTheme="minorHAnsi" w:hAnsiTheme="minorHAnsi" w:cstheme="minorBidi"/>
      <w:sz w:val="22"/>
      <w:szCs w:val="22"/>
    </w:rPr>
  </w:style>
  <w:style w:type="character" w:customStyle="1" w:styleId="Heading3Char">
    <w:name w:val="Heading 3 Char"/>
    <w:basedOn w:val="DefaultParagraphFont"/>
    <w:link w:val="Heading3"/>
    <w:uiPriority w:val="9"/>
    <w:rsid w:val="00E333B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C74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E4A"/>
    <w:rPr>
      <w:rFonts w:ascii="Calibri" w:eastAsia="Calibri" w:hAnsi="Calibri"/>
      <w:sz w:val="22"/>
      <w:szCs w:val="22"/>
    </w:rPr>
  </w:style>
  <w:style w:type="paragraph" w:styleId="Footer">
    <w:name w:val="footer"/>
    <w:basedOn w:val="Normal"/>
    <w:link w:val="FooterChar"/>
    <w:uiPriority w:val="99"/>
    <w:unhideWhenUsed/>
    <w:rsid w:val="00C74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E4A"/>
    <w:rPr>
      <w:rFonts w:ascii="Calibri" w:eastAsia="Calibri" w:hAnsi="Calibri"/>
      <w:sz w:val="22"/>
      <w:szCs w:val="22"/>
    </w:rPr>
  </w:style>
  <w:style w:type="table" w:styleId="TableGrid">
    <w:name w:val="Table Grid"/>
    <w:basedOn w:val="TableNormal"/>
    <w:uiPriority w:val="39"/>
    <w:rsid w:val="00134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D78D5"/>
    <w:pPr>
      <w:spacing w:after="200" w:line="240" w:lineRule="auto"/>
    </w:pPr>
    <w:rPr>
      <w:i/>
      <w:iCs/>
      <w:color w:val="44546A" w:themeColor="text2"/>
      <w:sz w:val="18"/>
      <w:szCs w:val="18"/>
    </w:rPr>
  </w:style>
  <w:style w:type="character" w:customStyle="1" w:styleId="Heading4Char">
    <w:name w:val="Heading 4 Char"/>
    <w:basedOn w:val="DefaultParagraphFont"/>
    <w:link w:val="Heading4"/>
    <w:uiPriority w:val="9"/>
    <w:rsid w:val="00353342"/>
    <w:rPr>
      <w:rFonts w:asciiTheme="majorHAnsi" w:eastAsiaTheme="majorEastAsia"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9"/>
    <w:rsid w:val="00353342"/>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semiHidden/>
    <w:rsid w:val="00353342"/>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semiHidden/>
    <w:rsid w:val="00353342"/>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semiHidden/>
    <w:rsid w:val="003533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53342"/>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B823A3"/>
    <w:rPr>
      <w:color w:val="954F72" w:themeColor="followedHyperlink"/>
      <w:u w:val="single"/>
    </w:rPr>
  </w:style>
  <w:style w:type="paragraph" w:styleId="BalloonText">
    <w:name w:val="Balloon Text"/>
    <w:basedOn w:val="Normal"/>
    <w:link w:val="BalloonTextChar"/>
    <w:uiPriority w:val="99"/>
    <w:semiHidden/>
    <w:unhideWhenUsed/>
    <w:rsid w:val="00A73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FB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71A05"/>
    <w:rPr>
      <w:sz w:val="16"/>
      <w:szCs w:val="16"/>
    </w:rPr>
  </w:style>
  <w:style w:type="paragraph" w:styleId="CommentText">
    <w:name w:val="annotation text"/>
    <w:basedOn w:val="Normal"/>
    <w:link w:val="CommentTextChar"/>
    <w:uiPriority w:val="99"/>
    <w:semiHidden/>
    <w:unhideWhenUsed/>
    <w:rsid w:val="00F71A05"/>
    <w:pPr>
      <w:spacing w:line="240" w:lineRule="auto"/>
    </w:pPr>
    <w:rPr>
      <w:sz w:val="20"/>
      <w:szCs w:val="20"/>
    </w:rPr>
  </w:style>
  <w:style w:type="character" w:customStyle="1" w:styleId="CommentTextChar">
    <w:name w:val="Comment Text Char"/>
    <w:basedOn w:val="DefaultParagraphFont"/>
    <w:link w:val="CommentText"/>
    <w:uiPriority w:val="99"/>
    <w:semiHidden/>
    <w:rsid w:val="00F71A05"/>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F71A05"/>
    <w:rPr>
      <w:b/>
      <w:bCs/>
    </w:rPr>
  </w:style>
  <w:style w:type="character" w:customStyle="1" w:styleId="CommentSubjectChar">
    <w:name w:val="Comment Subject Char"/>
    <w:basedOn w:val="CommentTextChar"/>
    <w:link w:val="CommentSubject"/>
    <w:uiPriority w:val="99"/>
    <w:semiHidden/>
    <w:rsid w:val="00F71A05"/>
    <w:rPr>
      <w:rFonts w:ascii="Calibri" w:eastAsia="Calibri" w:hAnsi="Calibri"/>
      <w:b/>
      <w:bCs/>
      <w:sz w:val="20"/>
      <w:szCs w:val="20"/>
    </w:rPr>
  </w:style>
  <w:style w:type="paragraph" w:styleId="Title">
    <w:name w:val="Title"/>
    <w:basedOn w:val="Normal"/>
    <w:link w:val="TitleChar"/>
    <w:qFormat/>
    <w:rsid w:val="0022584C"/>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22584C"/>
    <w:rPr>
      <w:rFonts w:eastAsia="Times New Roman"/>
      <w:b/>
      <w:bCs/>
    </w:rPr>
  </w:style>
  <w:style w:type="paragraph" w:styleId="Revision">
    <w:name w:val="Revision"/>
    <w:hidden/>
    <w:uiPriority w:val="99"/>
    <w:semiHidden/>
    <w:rsid w:val="00782FEA"/>
    <w:pPr>
      <w:spacing w:after="0"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976865">
      <w:bodyDiv w:val="1"/>
      <w:marLeft w:val="0"/>
      <w:marRight w:val="0"/>
      <w:marTop w:val="0"/>
      <w:marBottom w:val="0"/>
      <w:divBdr>
        <w:top w:val="none" w:sz="0" w:space="0" w:color="auto"/>
        <w:left w:val="none" w:sz="0" w:space="0" w:color="auto"/>
        <w:bottom w:val="none" w:sz="0" w:space="0" w:color="auto"/>
        <w:right w:val="none" w:sz="0" w:space="0" w:color="auto"/>
      </w:divBdr>
    </w:div>
    <w:div w:id="999960649">
      <w:bodyDiv w:val="1"/>
      <w:marLeft w:val="0"/>
      <w:marRight w:val="0"/>
      <w:marTop w:val="0"/>
      <w:marBottom w:val="0"/>
      <w:divBdr>
        <w:top w:val="none" w:sz="0" w:space="0" w:color="auto"/>
        <w:left w:val="none" w:sz="0" w:space="0" w:color="auto"/>
        <w:bottom w:val="none" w:sz="0" w:space="0" w:color="auto"/>
        <w:right w:val="none" w:sz="0" w:space="0" w:color="auto"/>
      </w:divBdr>
    </w:div>
    <w:div w:id="1072461297">
      <w:bodyDiv w:val="1"/>
      <w:marLeft w:val="0"/>
      <w:marRight w:val="0"/>
      <w:marTop w:val="0"/>
      <w:marBottom w:val="0"/>
      <w:divBdr>
        <w:top w:val="none" w:sz="0" w:space="0" w:color="auto"/>
        <w:left w:val="none" w:sz="0" w:space="0" w:color="auto"/>
        <w:bottom w:val="none" w:sz="0" w:space="0" w:color="auto"/>
        <w:right w:val="none" w:sz="0" w:space="0" w:color="auto"/>
      </w:divBdr>
    </w:div>
    <w:div w:id="14446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legistar.council.nyc.gov/LegislationDetail.aspx?ID=2473908&amp;GUID=E14F6E26-C4A4-4AEC-9BC4-02E6C0F38E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42799-063B-4AA7-888A-6A4C4E63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2982</Words>
  <Characters>17000</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Trinder, Elizabeth</dc:creator>
  <cp:keywords/>
  <dc:description/>
  <cp:lastModifiedBy>DelFranco, Ruthie</cp:lastModifiedBy>
  <cp:revision>2</cp:revision>
  <cp:lastPrinted>2019-07-17T20:44:00Z</cp:lastPrinted>
  <dcterms:created xsi:type="dcterms:W3CDTF">2019-07-22T20:27:00Z</dcterms:created>
  <dcterms:modified xsi:type="dcterms:W3CDTF">2019-07-22T20:27:00Z</dcterms:modified>
</cp:coreProperties>
</file>