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F8A41" w14:textId="77777777" w:rsidR="00C1227D" w:rsidRDefault="00BF5A2A">
      <w:pPr>
        <w:jc w:val="right"/>
      </w:pPr>
      <w:r>
        <w:rPr>
          <w:u w:val="single"/>
        </w:rPr>
        <w:t>Committee on Economic Development</w:t>
      </w:r>
    </w:p>
    <w:p w14:paraId="28B78C46" w14:textId="77777777" w:rsidR="00C1227D" w:rsidRDefault="00BF5A2A">
      <w:pPr>
        <w:jc w:val="right"/>
      </w:pPr>
      <w:r>
        <w:t xml:space="preserve">Alex R. Paulenoff, </w:t>
      </w:r>
      <w:r>
        <w:rPr>
          <w:i/>
          <w:iCs/>
        </w:rPr>
        <w:t>Senior Legislative Counsel</w:t>
      </w:r>
    </w:p>
    <w:p w14:paraId="248D16CC" w14:textId="77777777" w:rsidR="00C1227D" w:rsidRDefault="00BF5A2A">
      <w:pPr>
        <w:jc w:val="right"/>
      </w:pPr>
      <w:r>
        <w:t xml:space="preserve">William Hongach, </w:t>
      </w:r>
      <w:r>
        <w:rPr>
          <w:i/>
          <w:iCs/>
        </w:rPr>
        <w:t>Senior Legislative Policy Analyst</w:t>
      </w:r>
    </w:p>
    <w:p w14:paraId="53B060E2" w14:textId="77777777" w:rsidR="00C1227D" w:rsidRDefault="00BF5A2A">
      <w:pPr>
        <w:jc w:val="right"/>
      </w:pPr>
      <w:r>
        <w:t xml:space="preserve">Spencer Kuhn, </w:t>
      </w:r>
      <w:r>
        <w:rPr>
          <w:i/>
          <w:iCs/>
        </w:rPr>
        <w:t>Financial Analyst</w:t>
      </w:r>
    </w:p>
    <w:p w14:paraId="30819099" w14:textId="77777777" w:rsidR="00C1227D" w:rsidRDefault="00C1227D"/>
    <w:p w14:paraId="759516E5" w14:textId="77777777" w:rsidR="00C1227D" w:rsidRDefault="00BF5A2A">
      <w:pPr>
        <w:jc w:val="right"/>
      </w:pPr>
      <w:r>
        <w:rPr>
          <w:u w:val="single"/>
        </w:rPr>
        <w:t>Committee on Workforce Development</w:t>
      </w:r>
    </w:p>
    <w:p w14:paraId="739C3CCF" w14:textId="77777777" w:rsidR="00C1227D" w:rsidRDefault="00BF5A2A">
      <w:pPr>
        <w:jc w:val="right"/>
      </w:pPr>
      <w:r>
        <w:t xml:space="preserve">Alex R. Paulenoff, </w:t>
      </w:r>
      <w:r>
        <w:rPr>
          <w:i/>
          <w:iCs/>
        </w:rPr>
        <w:t>Senior Legislative Counsel</w:t>
      </w:r>
    </w:p>
    <w:p w14:paraId="4BD5C783" w14:textId="77777777" w:rsidR="00C1227D" w:rsidRDefault="00BF5A2A">
      <w:pPr>
        <w:jc w:val="right"/>
      </w:pPr>
      <w:r>
        <w:t xml:space="preserve">William Hongach, </w:t>
      </w:r>
      <w:r>
        <w:rPr>
          <w:i/>
          <w:iCs/>
        </w:rPr>
        <w:t>Senior Legislative Policy Analyst</w:t>
      </w:r>
    </w:p>
    <w:p w14:paraId="6353BF3C" w14:textId="77777777" w:rsidR="00C1227D" w:rsidRDefault="00BF5A2A">
      <w:pPr>
        <w:jc w:val="right"/>
      </w:pPr>
      <w:r>
        <w:t xml:space="preserve">Spencer Kuhn, </w:t>
      </w:r>
      <w:r>
        <w:rPr>
          <w:i/>
          <w:iCs/>
        </w:rPr>
        <w:t>Financial Analyst</w:t>
      </w:r>
    </w:p>
    <w:p w14:paraId="1EDC480D" w14:textId="77777777" w:rsidR="00C1227D" w:rsidRDefault="00C1227D"/>
    <w:p w14:paraId="2F732C4B" w14:textId="77777777" w:rsidR="00FB35BC" w:rsidRDefault="00FB35BC"/>
    <w:p w14:paraId="5865F217" w14:textId="3D9EABC0" w:rsidR="00FB35BC" w:rsidRDefault="00FB35BC" w:rsidP="00FB35BC">
      <w:pPr>
        <w:jc w:val="center"/>
      </w:pPr>
      <w:r>
        <w:rPr>
          <w:noProof/>
        </w:rPr>
        <w:drawing>
          <wp:inline distT="0" distB="0" distL="0" distR="0" wp14:anchorId="2A9A83A6" wp14:editId="04B94143">
            <wp:extent cx="1257300" cy="1362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257300" cy="1362075"/>
                    </a:xfrm>
                    <a:prstGeom prst="rect">
                      <a:avLst/>
                    </a:prstGeom>
                  </pic:spPr>
                </pic:pic>
              </a:graphicData>
            </a:graphic>
          </wp:inline>
        </w:drawing>
      </w:r>
    </w:p>
    <w:p w14:paraId="157E4805" w14:textId="77777777" w:rsidR="00FB35BC" w:rsidRDefault="00FB35BC"/>
    <w:p w14:paraId="0C8EA791" w14:textId="77777777" w:rsidR="00FB35BC" w:rsidRDefault="00FB35BC" w:rsidP="00FB35BC">
      <w:pPr>
        <w:spacing w:before="120" w:after="120"/>
      </w:pPr>
    </w:p>
    <w:p w14:paraId="57BF0FA7" w14:textId="305ED929" w:rsidR="00FB35BC" w:rsidRPr="00FB35BC" w:rsidRDefault="00FB35BC" w:rsidP="00FB35BC">
      <w:pPr>
        <w:spacing w:after="200"/>
        <w:jc w:val="center"/>
        <w:rPr>
          <w:b/>
          <w:bCs/>
          <w:u w:val="single"/>
        </w:rPr>
      </w:pPr>
      <w:r>
        <w:rPr>
          <w:b/>
          <w:bCs/>
          <w:u w:val="single"/>
        </w:rPr>
        <w:t>THE COUNCIL OF THE CITY OF NEW YORK</w:t>
      </w:r>
    </w:p>
    <w:p w14:paraId="57C851B5" w14:textId="03371123" w:rsidR="00FB35BC" w:rsidRDefault="00F71CE5" w:rsidP="00FB35BC">
      <w:pPr>
        <w:jc w:val="center"/>
      </w:pPr>
      <w:r>
        <w:rPr>
          <w:b/>
          <w:bCs/>
          <w:u w:val="single"/>
        </w:rPr>
        <w:t>BRIEFING PAPER</w:t>
      </w:r>
      <w:r w:rsidR="00FB35BC">
        <w:rPr>
          <w:b/>
          <w:bCs/>
          <w:u w:val="single"/>
        </w:rPr>
        <w:t xml:space="preserve"> OF THE GOVERNMENTAL AFFAIRS DIVISION</w:t>
      </w:r>
    </w:p>
    <w:p w14:paraId="3AF37701" w14:textId="77777777" w:rsidR="00FB35BC" w:rsidRDefault="00FB35BC" w:rsidP="00FB35BC">
      <w:pPr>
        <w:jc w:val="center"/>
      </w:pPr>
      <w:r>
        <w:rPr>
          <w:i/>
          <w:iCs/>
        </w:rPr>
        <w:t>Andrea Vazquez, Director</w:t>
      </w:r>
    </w:p>
    <w:p w14:paraId="29292A92" w14:textId="77777777" w:rsidR="00FB35BC" w:rsidRDefault="00FB35BC" w:rsidP="00FB35BC">
      <w:pPr>
        <w:spacing w:after="160"/>
        <w:jc w:val="center"/>
      </w:pPr>
      <w:r>
        <w:rPr>
          <w:i/>
          <w:iCs/>
        </w:rPr>
        <w:t>Rachel Cordero, Deputy Director, Governmental Operations</w:t>
      </w:r>
    </w:p>
    <w:p w14:paraId="423E73B4" w14:textId="77777777" w:rsidR="00FB35BC" w:rsidRDefault="00FB35BC"/>
    <w:p w14:paraId="03E0846A" w14:textId="501A1BC5" w:rsidR="00FB35BC" w:rsidRDefault="00FB35BC" w:rsidP="00FB35BC">
      <w:pPr>
        <w:jc w:val="center"/>
      </w:pPr>
      <w:r>
        <w:rPr>
          <w:b/>
          <w:bCs/>
          <w:u w:val="single"/>
        </w:rPr>
        <w:t>COMMITTEE ON ECONOMIC DEVELOPMENT</w:t>
      </w:r>
    </w:p>
    <w:p w14:paraId="161CBA05" w14:textId="568285ED" w:rsidR="00FB35BC" w:rsidRPr="00FB35BC" w:rsidRDefault="00FB35BC" w:rsidP="00FB35BC">
      <w:pPr>
        <w:jc w:val="center"/>
        <w:rPr>
          <w:i/>
          <w:iCs/>
        </w:rPr>
      </w:pPr>
      <w:r>
        <w:rPr>
          <w:i/>
          <w:iCs/>
        </w:rPr>
        <w:t>Hon. Virginia Maloney, Chair</w:t>
      </w:r>
    </w:p>
    <w:p w14:paraId="03EB00C6" w14:textId="77777777" w:rsidR="00FB35BC" w:rsidRDefault="00FB35BC" w:rsidP="00FB35BC">
      <w:pPr>
        <w:jc w:val="center"/>
      </w:pPr>
    </w:p>
    <w:p w14:paraId="35474BE4" w14:textId="7AA72301" w:rsidR="00FB35BC" w:rsidRDefault="00FB35BC" w:rsidP="00FB35BC">
      <w:pPr>
        <w:jc w:val="center"/>
      </w:pPr>
      <w:r>
        <w:rPr>
          <w:b/>
          <w:bCs/>
          <w:u w:val="single"/>
        </w:rPr>
        <w:t>COMMITTEE ON WORKFORCE DEVELOPMENT</w:t>
      </w:r>
    </w:p>
    <w:p w14:paraId="656D3F0E" w14:textId="77777777" w:rsidR="00FB35BC" w:rsidRPr="00FB35BC" w:rsidRDefault="00FB35BC" w:rsidP="00FB35BC">
      <w:pPr>
        <w:jc w:val="center"/>
        <w:rPr>
          <w:i/>
          <w:iCs/>
        </w:rPr>
      </w:pPr>
      <w:r>
        <w:rPr>
          <w:i/>
          <w:iCs/>
        </w:rPr>
        <w:t>Hon. Julie Won, Chair</w:t>
      </w:r>
    </w:p>
    <w:p w14:paraId="03C4D9BE" w14:textId="77777777" w:rsidR="00C1227D" w:rsidRDefault="00C1227D"/>
    <w:p w14:paraId="56391045" w14:textId="77777777" w:rsidR="00FB35BC" w:rsidRDefault="00FB35BC">
      <w:pPr>
        <w:jc w:val="center"/>
        <w:rPr>
          <w:b/>
          <w:bCs/>
        </w:rPr>
      </w:pPr>
    </w:p>
    <w:p w14:paraId="13832E37" w14:textId="047DF79B" w:rsidR="00C1227D" w:rsidRPr="00FB35BC" w:rsidRDefault="00FB35BC">
      <w:pPr>
        <w:jc w:val="center"/>
        <w:rPr>
          <w:b/>
          <w:bCs/>
        </w:rPr>
      </w:pPr>
      <w:r>
        <w:rPr>
          <w:b/>
          <w:bCs/>
        </w:rPr>
        <w:t xml:space="preserve">June </w:t>
      </w:r>
      <w:r w:rsidR="00195808">
        <w:rPr>
          <w:b/>
          <w:bCs/>
        </w:rPr>
        <w:t>2</w:t>
      </w:r>
      <w:r>
        <w:rPr>
          <w:b/>
          <w:bCs/>
        </w:rPr>
        <w:t>6,</w:t>
      </w:r>
      <w:r>
        <w:t xml:space="preserve"> </w:t>
      </w:r>
      <w:r>
        <w:rPr>
          <w:b/>
          <w:bCs/>
        </w:rPr>
        <w:t>2026</w:t>
      </w:r>
    </w:p>
    <w:p w14:paraId="2A90B04D" w14:textId="77777777" w:rsidR="00C1227D" w:rsidRDefault="00C1227D"/>
    <w:p w14:paraId="044856B6" w14:textId="77777777" w:rsidR="00FB35BC" w:rsidRDefault="00FB35BC"/>
    <w:p w14:paraId="0BC835EB" w14:textId="4409E27A" w:rsidR="00FB35BC" w:rsidRDefault="00BF5A2A">
      <w:pPr>
        <w:jc w:val="center"/>
        <w:rPr>
          <w:b/>
          <w:bCs/>
        </w:rPr>
      </w:pPr>
      <w:r>
        <w:rPr>
          <w:b/>
          <w:bCs/>
        </w:rPr>
        <w:t>Oversight: Implementing The Green Economy Action Plan</w:t>
      </w:r>
    </w:p>
    <w:p w14:paraId="1AC937D7" w14:textId="3F2400E8" w:rsidR="00C1227D" w:rsidRPr="000D0A87" w:rsidRDefault="00FB35BC">
      <w:pPr>
        <w:rPr>
          <w:b/>
          <w:bCs/>
        </w:rPr>
      </w:pPr>
      <w:r>
        <w:rPr>
          <w:b/>
          <w:bCs/>
        </w:rPr>
        <w:br w:type="page"/>
      </w:r>
    </w:p>
    <w:p w14:paraId="346FE0D0" w14:textId="6D4CDE76" w:rsidR="00C1227D" w:rsidRDefault="00BF5A2A" w:rsidP="000D0A87">
      <w:pPr>
        <w:pStyle w:val="ListParagraph"/>
        <w:numPr>
          <w:ilvl w:val="0"/>
          <w:numId w:val="2"/>
        </w:numPr>
        <w:spacing w:line="480" w:lineRule="auto"/>
      </w:pPr>
      <w:r>
        <w:rPr>
          <w:b/>
          <w:bCs/>
        </w:rPr>
        <w:lastRenderedPageBreak/>
        <w:t>INTRODUCTION</w:t>
      </w:r>
    </w:p>
    <w:p w14:paraId="43105DC2" w14:textId="18053D3C" w:rsidR="00C1227D" w:rsidRDefault="00BF5A2A">
      <w:pPr>
        <w:spacing w:line="480" w:lineRule="auto"/>
        <w:ind w:firstLine="720"/>
        <w:jc w:val="both"/>
      </w:pPr>
      <w:r>
        <w:t xml:space="preserve">On June </w:t>
      </w:r>
      <w:r w:rsidR="00D96774">
        <w:t>26</w:t>
      </w:r>
      <w:r>
        <w:t>, 2026, the Committee on Economic Development, chaired by Council Member Virginia Maloney, and the Committee on Workforce Development, chaired by Council Member Julie Won, will conduct a joint oversight hearing on the Green Economy Action Plan. Witnesses invited to testify include representatives from the New York City Economic Development Corporation (“EDC”), the New York City Office of Talent and Workforce Development (“NYC Talent”), labor organizations, environmental and workforce advocates, and other interested stakeholders.</w:t>
      </w:r>
    </w:p>
    <w:p w14:paraId="65E9BF47" w14:textId="0E249F73" w:rsidR="00C1227D" w:rsidRDefault="00BF5A2A" w:rsidP="000D0A87">
      <w:pPr>
        <w:pStyle w:val="ListParagraph"/>
        <w:numPr>
          <w:ilvl w:val="0"/>
          <w:numId w:val="2"/>
        </w:numPr>
        <w:spacing w:line="480" w:lineRule="auto"/>
      </w:pPr>
      <w:r>
        <w:rPr>
          <w:b/>
          <w:bCs/>
        </w:rPr>
        <w:t>BACKGROUND</w:t>
      </w:r>
    </w:p>
    <w:p w14:paraId="535C04E5" w14:textId="663D9AB7" w:rsidR="00C1227D" w:rsidRDefault="00BF5A2A">
      <w:pPr>
        <w:spacing w:line="480" w:lineRule="auto"/>
        <w:ind w:firstLine="720"/>
        <w:jc w:val="both"/>
      </w:pPr>
      <w:r>
        <w:t>EDC and NYC Talent jointly released the Green Economy Action Plan (“GEAP”) in February 2024.</w:t>
      </w:r>
      <w:r>
        <w:rPr>
          <w:rStyle w:val="FootnoteReference"/>
        </w:rPr>
        <w:footnoteReference w:id="1"/>
      </w:r>
      <w:r>
        <w:t xml:space="preserve"> The plan sets out commitments by the City to support and grow the green economy through 2040.</w:t>
      </w:r>
      <w:r>
        <w:rPr>
          <w:rStyle w:val="FootnoteReference"/>
        </w:rPr>
        <w:footnoteReference w:id="2"/>
      </w:r>
      <w:r w:rsidR="00FA08C0">
        <w:t xml:space="preserve"> </w:t>
      </w:r>
      <w:r>
        <w:t xml:space="preserve"> The GEAP builds upon the City’s earlier sustainability </w:t>
      </w:r>
      <w:r w:rsidR="00FA08C0">
        <w:t>efforts and</w:t>
      </w:r>
      <w:r>
        <w:t xml:space="preserve"> frames the green economy as a source of accessible, middle-wage employment.</w:t>
      </w:r>
      <w:r>
        <w:rPr>
          <w:rStyle w:val="FootnoteReference"/>
        </w:rPr>
        <w:footnoteReference w:id="3"/>
      </w:r>
    </w:p>
    <w:p w14:paraId="0C34B9EF" w14:textId="26976F40" w:rsidR="00C1227D" w:rsidRDefault="00BF5A2A">
      <w:pPr>
        <w:spacing w:line="480" w:lineRule="auto"/>
        <w:ind w:firstLine="720"/>
        <w:jc w:val="both"/>
      </w:pPr>
      <w:r>
        <w:t>The plan estimated in 2024 that the green economy supported roughly 133,000 jobs, and set a target of approximately 400,000 green jobs in the City by 2040.</w:t>
      </w:r>
      <w:r>
        <w:rPr>
          <w:rStyle w:val="FootnoteReference"/>
        </w:rPr>
        <w:footnoteReference w:id="4"/>
      </w:r>
      <w:r>
        <w:t xml:space="preserve"> To reach that target, the plan organizes its work around five goals and 63 commitments through 2030. EDC leads four goals, addressing buildings, renewable energy, transportation, and climate technology, while NYC Talent leads the fifth goal concerning workforce development and training.</w:t>
      </w:r>
      <w:r>
        <w:rPr>
          <w:rStyle w:val="FootnoteReference"/>
        </w:rPr>
        <w:footnoteReference w:id="5"/>
      </w:r>
      <w:r>
        <w:t xml:space="preserve"> The plan identifies priority </w:t>
      </w:r>
      <w:r>
        <w:lastRenderedPageBreak/>
        <w:t>“focus occupations” in construction and installation, engineering and architecture, management, and business.</w:t>
      </w:r>
    </w:p>
    <w:p w14:paraId="5DCDB926" w14:textId="6370D301" w:rsidR="00C1227D" w:rsidRPr="000D0A87" w:rsidRDefault="000D0A87" w:rsidP="000D0A87">
      <w:pPr>
        <w:spacing w:line="480" w:lineRule="auto"/>
        <w:ind w:firstLine="720"/>
        <w:rPr>
          <w:i/>
          <w:iCs/>
        </w:rPr>
      </w:pPr>
      <w:r>
        <w:rPr>
          <w:b/>
          <w:bCs/>
          <w:i/>
          <w:iCs/>
        </w:rPr>
        <w:t>Role of EDC and NYC Talent</w:t>
      </w:r>
    </w:p>
    <w:p w14:paraId="3844D0E7" w14:textId="4A69162C" w:rsidR="00C1227D" w:rsidRDefault="00BF5A2A">
      <w:pPr>
        <w:spacing w:line="480" w:lineRule="auto"/>
        <w:ind w:firstLine="720"/>
        <w:jc w:val="both"/>
      </w:pPr>
      <w:r>
        <w:t>EDC is the City’s primary economic development entity and carries the plan’s commitments related to physical infrastructure, energy and emerging climate industries.</w:t>
      </w:r>
      <w:r>
        <w:rPr>
          <w:rStyle w:val="FootnoteReference"/>
        </w:rPr>
        <w:footnoteReference w:id="6"/>
      </w:r>
      <w:r>
        <w:t xml:space="preserve"> NYC Talent coordinates the City’s workforce strategy and carries the commitments related to training, apprenticeships and youth pathways.</w:t>
      </w:r>
      <w:r>
        <w:rPr>
          <w:rStyle w:val="FootnoteReference"/>
        </w:rPr>
        <w:footnoteReference w:id="7"/>
      </w:r>
      <w:r>
        <w:t xml:space="preserve"> The two entities present the plan as a single, coordinated effort that links capital investment to job creation.</w:t>
      </w:r>
      <w:r>
        <w:rPr>
          <w:rStyle w:val="FootnoteReference"/>
        </w:rPr>
        <w:footnoteReference w:id="8"/>
      </w:r>
    </w:p>
    <w:p w14:paraId="430F0F8D" w14:textId="1EAEBF29" w:rsidR="00C1227D" w:rsidRDefault="00195808">
      <w:pPr>
        <w:spacing w:line="480" w:lineRule="auto"/>
        <w:ind w:firstLine="720"/>
        <w:jc w:val="both"/>
      </w:pPr>
      <w:r>
        <w:t>When t</w:t>
      </w:r>
      <w:r w:rsidR="00BF5A2A">
        <w:t>he Mamdani administration took office in January 2026</w:t>
      </w:r>
      <w:r>
        <w:t>, the Mayor</w:t>
      </w:r>
      <w:r w:rsidR="00BF5A2A">
        <w:t xml:space="preserve"> quickly reorganized the offices responsible for the GEAP plan. </w:t>
      </w:r>
      <w:r>
        <w:t xml:space="preserve">He </w:t>
      </w:r>
      <w:r w:rsidR="00BF5A2A">
        <w:t>established a Deputy Mayor for Economic Justice with authority over both the City’s economic development and workforce development functions.</w:t>
      </w:r>
      <w:r w:rsidR="00BF5A2A">
        <w:rPr>
          <w:rStyle w:val="FootnoteReference"/>
        </w:rPr>
        <w:footnoteReference w:id="9"/>
      </w:r>
      <w:r w:rsidR="00BF5A2A">
        <w:t xml:space="preserve"> Deputy Mayor Julie Su has publicly questioned aspects of EDC’s tax-incentive</w:t>
      </w:r>
      <w:r w:rsidR="00A63B9D">
        <w:t xml:space="preserve"> programs</w:t>
      </w:r>
      <w:r w:rsidR="00BF5A2A">
        <w:t xml:space="preserve">, which </w:t>
      </w:r>
      <w:r w:rsidR="00A63B9D">
        <w:t xml:space="preserve">may impact how the </w:t>
      </w:r>
      <w:r w:rsidR="00BF5A2A">
        <w:t>administration approach</w:t>
      </w:r>
      <w:r w:rsidR="00A63B9D">
        <w:t>es</w:t>
      </w:r>
      <w:r w:rsidR="00BF5A2A">
        <w:t xml:space="preserve"> the plan’s commitments.</w:t>
      </w:r>
      <w:r w:rsidR="00BF5A2A">
        <w:rPr>
          <w:rStyle w:val="FootnoteReference"/>
        </w:rPr>
        <w:footnoteReference w:id="10"/>
      </w:r>
    </w:p>
    <w:p w14:paraId="33D461B3" w14:textId="21896403" w:rsidR="00C1227D" w:rsidRPr="005857A3" w:rsidRDefault="005857A3" w:rsidP="005857A3">
      <w:pPr>
        <w:spacing w:line="480" w:lineRule="auto"/>
        <w:ind w:firstLine="720"/>
        <w:rPr>
          <w:i/>
          <w:iCs/>
        </w:rPr>
      </w:pPr>
      <w:r>
        <w:rPr>
          <w:b/>
          <w:bCs/>
          <w:i/>
          <w:iCs/>
        </w:rPr>
        <w:t>Implementation to Date</w:t>
      </w:r>
    </w:p>
    <w:p w14:paraId="255A7BB9" w14:textId="610A1F16" w:rsidR="00FA08C0" w:rsidRDefault="00BF5A2A">
      <w:pPr>
        <w:spacing w:line="480" w:lineRule="auto"/>
        <w:ind w:firstLine="720"/>
        <w:jc w:val="both"/>
      </w:pPr>
      <w:r>
        <w:t>The plan’s most prominent commitment is the South Brooklyn Marine Terminal (“SBMT”), which EDC has redeveloped as the staging and assembly hub for the Empire Wind offshore wind project.</w:t>
      </w:r>
      <w:r>
        <w:rPr>
          <w:rStyle w:val="FootnoteReference"/>
        </w:rPr>
        <w:footnoteReference w:id="11"/>
      </w:r>
      <w:r>
        <w:t xml:space="preserve"> </w:t>
      </w:r>
      <w:r w:rsidR="00FA08C0">
        <w:t xml:space="preserve">Under </w:t>
      </w:r>
      <w:r>
        <w:t xml:space="preserve">a 2022 agreement </w:t>
      </w:r>
      <w:r w:rsidR="00A63B9D">
        <w:t>with</w:t>
      </w:r>
      <w:r>
        <w:t xml:space="preserve"> EDC </w:t>
      </w:r>
      <w:r w:rsidR="00FA08C0">
        <w:t xml:space="preserve">the </w:t>
      </w:r>
      <w:r>
        <w:t xml:space="preserve">terminal operator agreed to </w:t>
      </w:r>
      <w:r>
        <w:lastRenderedPageBreak/>
        <w:t>upgrade and build out the facility as one of the largest offshore wind port facilities in the nation, and construction began in June 2024.</w:t>
      </w:r>
      <w:r>
        <w:rPr>
          <w:rStyle w:val="FootnoteReference"/>
        </w:rPr>
        <w:footnoteReference w:id="12"/>
      </w:r>
      <w:r>
        <w:t xml:space="preserve"> Empire Wind is the clearest test of the GEAP plan’s attempts to prove that climate investment produces local employment. The first phase of the project</w:t>
      </w:r>
      <w:r w:rsidR="00FA08C0">
        <w:t xml:space="preserve"> </w:t>
      </w:r>
      <w:r>
        <w:t>is designed to deliver 810 megawatts of electricity to the city through 54 turbines, and the City and EDC have projected that the broader offshore wind industry could support up to 13,000 jobs citywide by 2035, with more than 1,000 union construction jobs, 200 assembly jobs and 50 permanent positions tied to SBMT itself.</w:t>
      </w:r>
      <w:r>
        <w:rPr>
          <w:rStyle w:val="FootnoteReference"/>
        </w:rPr>
        <w:footnoteReference w:id="13"/>
      </w:r>
      <w:r>
        <w:t xml:space="preserve"> The Empire Wind project’s construction phase employs nearly 4,000 workers, and the SBMT’s revitalization is central to the plan’s offshore wind strategy.</w:t>
      </w:r>
      <w:r>
        <w:rPr>
          <w:rStyle w:val="FootnoteReference"/>
        </w:rPr>
        <w:footnoteReference w:id="14"/>
      </w:r>
      <w:r>
        <w:t xml:space="preserve"> </w:t>
      </w:r>
      <w:r w:rsidR="007B418F">
        <w:t xml:space="preserve">In the Fiscal 2027 Executive Capital Commitment Plan, </w:t>
      </w:r>
      <w:r w:rsidR="00C92E9B">
        <w:t>$106.5 million of capital funding was accelerated from future</w:t>
      </w:r>
      <w:r w:rsidR="008A7B9C">
        <w:t xml:space="preserve"> fiscal years into FY26</w:t>
      </w:r>
      <w:r w:rsidR="00A63B9D">
        <w:t xml:space="preserve"> to support Empire Wind at SBMT</w:t>
      </w:r>
      <w:r w:rsidR="008A7B9C">
        <w:t>.</w:t>
      </w:r>
      <w:r w:rsidR="00A63B9D">
        <w:rPr>
          <w:rStyle w:val="FootnoteReference"/>
        </w:rPr>
        <w:footnoteReference w:id="15"/>
      </w:r>
      <w:r w:rsidR="00A63B9D">
        <w:t xml:space="preserve"> </w:t>
      </w:r>
      <w:r w:rsidR="008A7B9C">
        <w:t xml:space="preserve"> </w:t>
      </w:r>
      <w:r w:rsidR="00F619AD">
        <w:t xml:space="preserve">This acceleration reflects an anticipation that </w:t>
      </w:r>
      <w:r w:rsidR="00F32390">
        <w:t xml:space="preserve">the onshore substation will be </w:t>
      </w:r>
      <w:r w:rsidR="006507F1">
        <w:t>completed</w:t>
      </w:r>
      <w:r w:rsidR="001E0BE5">
        <w:t xml:space="preserve"> this </w:t>
      </w:r>
      <w:r w:rsidR="000C2324">
        <w:t>year and</w:t>
      </w:r>
      <w:r w:rsidR="00F32390">
        <w:t xml:space="preserve"> </w:t>
      </w:r>
      <w:r w:rsidR="000A6F86">
        <w:t>become fully operational by the end of 2027.</w:t>
      </w:r>
      <w:r w:rsidR="00042A0A">
        <w:rPr>
          <w:rStyle w:val="FootnoteReference"/>
        </w:rPr>
        <w:footnoteReference w:id="16"/>
      </w:r>
      <w:r w:rsidR="00F619AD">
        <w:t xml:space="preserve"> </w:t>
      </w:r>
    </w:p>
    <w:p w14:paraId="75B4E2D2" w14:textId="2A01A0D6" w:rsidR="00C1227D" w:rsidRDefault="00BF5A2A">
      <w:pPr>
        <w:spacing w:line="480" w:lineRule="auto"/>
        <w:ind w:firstLine="720"/>
        <w:jc w:val="both"/>
      </w:pPr>
      <w:r>
        <w:t xml:space="preserve">The </w:t>
      </w:r>
      <w:r w:rsidR="00FA08C0">
        <w:t xml:space="preserve">GEAP </w:t>
      </w:r>
      <w:r>
        <w:t>plan advances numerous other economic development commitments as well, including several other climate and technology projects across the five boroughs</w:t>
      </w:r>
      <w:r w:rsidR="00A63B9D">
        <w:t>.</w:t>
      </w:r>
      <w:r w:rsidR="00FA08C0">
        <w:rPr>
          <w:rStyle w:val="FootnoteReference"/>
        </w:rPr>
        <w:footnoteReference w:id="17"/>
      </w:r>
      <w:r>
        <w:t xml:space="preserve"> </w:t>
      </w:r>
      <w:r w:rsidR="00A63B9D">
        <w:t xml:space="preserve">The </w:t>
      </w:r>
      <w:r>
        <w:t xml:space="preserve">most concrete </w:t>
      </w:r>
      <w:r w:rsidR="00A63B9D">
        <w:t xml:space="preserve">commitment </w:t>
      </w:r>
      <w:r>
        <w:t xml:space="preserve">is a planned investment of up to $100 million to develop a Climate Innovation Hub at the Brooklyn Army Terminal, which EDC has described as serving 150 startups </w:t>
      </w:r>
      <w:r>
        <w:lastRenderedPageBreak/>
        <w:t>over ten years while providing local workforce training and job placement.</w:t>
      </w:r>
      <w:r>
        <w:rPr>
          <w:rStyle w:val="FootnoteReference"/>
        </w:rPr>
        <w:footnoteReference w:id="18"/>
      </w:r>
      <w:r w:rsidR="005B441B">
        <w:t xml:space="preserve"> The Fiscal 2027 Executive Capital Commitment Plan reflects this commitment, with over $38</w:t>
      </w:r>
      <w:r w:rsidR="00947548">
        <w:t>0</w:t>
      </w:r>
      <w:r w:rsidR="005B441B">
        <w:t xml:space="preserve"> million in capital funds committed</w:t>
      </w:r>
      <w:r w:rsidR="002F1252">
        <w:t xml:space="preserve"> across Fiscal</w:t>
      </w:r>
      <w:r w:rsidR="00A63B9D">
        <w:t xml:space="preserve"> Years</w:t>
      </w:r>
      <w:r w:rsidR="002F1252">
        <w:t xml:space="preserve"> 2026 to 2035</w:t>
      </w:r>
      <w:r w:rsidR="005B441B">
        <w:t xml:space="preserve"> </w:t>
      </w:r>
      <w:r w:rsidR="002F1252">
        <w:t>for</w:t>
      </w:r>
      <w:r w:rsidR="005B441B">
        <w:t xml:space="preserve"> </w:t>
      </w:r>
      <w:r w:rsidR="002F1252">
        <w:t xml:space="preserve">several </w:t>
      </w:r>
      <w:r w:rsidR="00116E02">
        <w:t>projects at the Brooklyn Army Terminal.</w:t>
      </w:r>
      <w:r w:rsidR="00116E02">
        <w:rPr>
          <w:rStyle w:val="FootnoteReference"/>
        </w:rPr>
        <w:footnoteReference w:id="19"/>
      </w:r>
    </w:p>
    <w:p w14:paraId="376E877A" w14:textId="798BBD58" w:rsidR="00C1227D" w:rsidRDefault="00BF5A2A">
      <w:pPr>
        <w:spacing w:line="480" w:lineRule="auto"/>
        <w:ind w:firstLine="720"/>
        <w:jc w:val="both"/>
      </w:pPr>
      <w:r>
        <w:t>On the workforce side, NYC Talent’s commitments center on training capacity, apprenticeships, and coordinated youth investment.</w:t>
      </w:r>
      <w:r>
        <w:rPr>
          <w:rStyle w:val="FootnoteReference"/>
        </w:rPr>
        <w:footnoteReference w:id="20"/>
      </w:r>
      <w:r>
        <w:t xml:space="preserve"> NYC Talent agreed to develop a green-collar workforce training facility in every borough, and the plan set a target of connecting more than 12,000 New Yorkers to green</w:t>
      </w:r>
      <w:r w:rsidR="00A63B9D">
        <w:t xml:space="preserve"> jobs</w:t>
      </w:r>
      <w:r>
        <w:t xml:space="preserve"> through apprenticeship and pre-apprenticeship training by 2040.</w:t>
      </w:r>
      <w:r>
        <w:rPr>
          <w:rStyle w:val="FootnoteReference"/>
        </w:rPr>
        <w:footnoteReference w:id="21"/>
      </w:r>
      <w:r>
        <w:t xml:space="preserve"> The </w:t>
      </w:r>
      <w:r w:rsidR="003516EB">
        <w:t xml:space="preserve">GEAP </w:t>
      </w:r>
      <w:r>
        <w:t>plan also describes leveraging a coordinated $600 million investment to build green</w:t>
      </w:r>
      <w:r w:rsidR="00A63B9D">
        <w:t xml:space="preserve"> </w:t>
      </w:r>
      <w:r>
        <w:t>career pathways for young people</w:t>
      </w:r>
      <w:r w:rsidR="003516EB">
        <w:t xml:space="preserve"> by </w:t>
      </w:r>
      <w:r>
        <w:t>committ</w:t>
      </w:r>
      <w:r w:rsidR="003516EB">
        <w:t xml:space="preserve">ing </w:t>
      </w:r>
      <w:r>
        <w:t xml:space="preserve">more than $600 million </w:t>
      </w:r>
      <w:r w:rsidR="003516EB">
        <w:t xml:space="preserve">towards education </w:t>
      </w:r>
      <w:r>
        <w:t>to prepare roughly 250,000 young people for the workforce</w:t>
      </w:r>
      <w:r w:rsidR="00E60CEA">
        <w:t>,</w:t>
      </w:r>
      <w:r>
        <w:t xml:space="preserve"> generally.</w:t>
      </w:r>
      <w:r>
        <w:rPr>
          <w:rStyle w:val="FootnoteReference"/>
        </w:rPr>
        <w:footnoteReference w:id="22"/>
      </w:r>
      <w:r>
        <w:t xml:space="preserve"> </w:t>
      </w:r>
    </w:p>
    <w:p w14:paraId="26503075" w14:textId="2BB0850D" w:rsidR="00C1227D" w:rsidRPr="005857A3" w:rsidRDefault="005857A3" w:rsidP="005857A3">
      <w:pPr>
        <w:spacing w:line="480" w:lineRule="auto"/>
        <w:ind w:firstLine="720"/>
        <w:rPr>
          <w:i/>
          <w:iCs/>
        </w:rPr>
      </w:pPr>
      <w:r>
        <w:rPr>
          <w:b/>
          <w:bCs/>
          <w:i/>
          <w:iCs/>
        </w:rPr>
        <w:t>Federal and Local Developments</w:t>
      </w:r>
    </w:p>
    <w:p w14:paraId="6D5FC9E0" w14:textId="37E19E91" w:rsidR="00C1227D" w:rsidRDefault="00BF5A2A">
      <w:pPr>
        <w:spacing w:line="480" w:lineRule="auto"/>
        <w:ind w:firstLine="720"/>
        <w:jc w:val="both"/>
      </w:pPr>
      <w:r>
        <w:t>On December 22, 2025, the federal Bureau of Ocean Energy Management issued a stop-work order halting construction of Empire Wind and other offshore wind projects on asserted national security grounds.</w:t>
      </w:r>
      <w:r>
        <w:rPr>
          <w:rStyle w:val="FootnoteReference"/>
        </w:rPr>
        <w:footnoteReference w:id="23"/>
      </w:r>
      <w:r>
        <w:t xml:space="preserve"> Empire Wind, then approximately 60 percent complete, challenged the order in federal court, and on January 15, 2026, the United States District Court for the District of Columbia issued a preliminary injunction permitting construction to resume while the case </w:t>
      </w:r>
      <w:r>
        <w:lastRenderedPageBreak/>
        <w:t>proceeds.</w:t>
      </w:r>
      <w:r>
        <w:rPr>
          <w:rStyle w:val="FootnoteReference"/>
        </w:rPr>
        <w:footnoteReference w:id="24"/>
      </w:r>
      <w:r>
        <w:t xml:space="preserve"> The project is continuing for now, but a federal appeal or future stop work orders can threaten the project entirely.</w:t>
      </w:r>
      <w:r>
        <w:rPr>
          <w:rStyle w:val="FootnoteReference"/>
        </w:rPr>
        <w:footnoteReference w:id="25"/>
      </w:r>
    </w:p>
    <w:p w14:paraId="0ED07A42" w14:textId="276C45DB" w:rsidR="00C1227D" w:rsidRDefault="00BF5A2A">
      <w:pPr>
        <w:spacing w:line="480" w:lineRule="auto"/>
        <w:ind w:firstLine="720"/>
        <w:jc w:val="both"/>
      </w:pPr>
      <w:r>
        <w:t xml:space="preserve">Federal energy and workforce policy has also shifted. Legislation enacted in July 2025 curtailed the clean-energy tax credits </w:t>
      </w:r>
      <w:r w:rsidR="003516EB">
        <w:t>up</w:t>
      </w:r>
      <w:r>
        <w:t>on which much of the plan’s renewable-energy and climate-technology strategy depends.</w:t>
      </w:r>
      <w:r>
        <w:rPr>
          <w:rStyle w:val="FootnoteReference"/>
        </w:rPr>
        <w:footnoteReference w:id="26"/>
      </w:r>
      <w:r>
        <w:t xml:space="preserve"> Separately, the </w:t>
      </w:r>
      <w:r w:rsidR="00111198">
        <w:t xml:space="preserve">Workforce Innovation and Opportunity Act (WIOA) has not </w:t>
      </w:r>
      <w:r>
        <w:t xml:space="preserve">been reauthorized, and a proposed restructuring </w:t>
      </w:r>
      <w:r w:rsidR="00111198">
        <w:t xml:space="preserve">and consolidating </w:t>
      </w:r>
      <w:r>
        <w:t>of federal workforce funding</w:t>
      </w:r>
      <w:r w:rsidR="00111198">
        <w:t xml:space="preserve"> into the proposed “Make America Skilled Again”</w:t>
      </w:r>
      <w:r>
        <w:t xml:space="preserve"> </w:t>
      </w:r>
      <w:r w:rsidR="00111198">
        <w:t xml:space="preserve">block grant </w:t>
      </w:r>
      <w:r>
        <w:t xml:space="preserve">would reduce the resources available for the kind of training </w:t>
      </w:r>
      <w:r w:rsidR="003516EB">
        <w:t xml:space="preserve">contemplated by </w:t>
      </w:r>
      <w:r>
        <w:t xml:space="preserve">the </w:t>
      </w:r>
      <w:r w:rsidR="003516EB">
        <w:t xml:space="preserve">GEAP </w:t>
      </w:r>
      <w:r>
        <w:t>plan.</w:t>
      </w:r>
      <w:r>
        <w:rPr>
          <w:rStyle w:val="FootnoteReference"/>
        </w:rPr>
        <w:footnoteReference w:id="27"/>
      </w:r>
    </w:p>
    <w:p w14:paraId="6EEEEE65" w14:textId="7FA4503A" w:rsidR="00C1227D" w:rsidRDefault="00BF5A2A">
      <w:pPr>
        <w:spacing w:line="480" w:lineRule="auto"/>
        <w:ind w:firstLine="720"/>
        <w:jc w:val="both"/>
      </w:pPr>
      <w:r>
        <w:t xml:space="preserve">The Center for an Urban Future has </w:t>
      </w:r>
      <w:r w:rsidR="00750B1B">
        <w:t xml:space="preserve">independently </w:t>
      </w:r>
      <w:r>
        <w:t>reported that the city added roughly 2,184 net new green jobs in 2023, a figure that provides a benchmark against the plan’s target of 400,000 jobs by 2040.</w:t>
      </w:r>
      <w:r>
        <w:rPr>
          <w:rStyle w:val="FootnoteReference"/>
        </w:rPr>
        <w:footnoteReference w:id="28"/>
      </w:r>
      <w:r>
        <w:t xml:space="preserve"> </w:t>
      </w:r>
      <w:r w:rsidR="00122285">
        <w:t>Further, b</w:t>
      </w:r>
      <w:r>
        <w:t xml:space="preserve">ecause more than half of the </w:t>
      </w:r>
      <w:r w:rsidR="00122285">
        <w:t xml:space="preserve">GEAP </w:t>
      </w:r>
      <w:r>
        <w:t xml:space="preserve">plan’s green jobs are tied to building decarbonization, </w:t>
      </w:r>
      <w:r w:rsidR="00122285">
        <w:t>retrofitting existing buildings in compliance with</w:t>
      </w:r>
      <w:r>
        <w:t xml:space="preserve"> </w:t>
      </w:r>
      <w:r w:rsidR="00122285">
        <w:t>Local Law 97 of 2019</w:t>
      </w:r>
      <w:r>
        <w:t xml:space="preserve"> </w:t>
      </w:r>
      <w:r w:rsidR="00122285">
        <w:t xml:space="preserve">regulating building emissions is </w:t>
      </w:r>
      <w:r>
        <w:t xml:space="preserve">the principal driver of </w:t>
      </w:r>
      <w:r w:rsidR="00122285">
        <w:t xml:space="preserve">workforce </w:t>
      </w:r>
      <w:r>
        <w:t>demand.</w:t>
      </w:r>
      <w:r>
        <w:rPr>
          <w:rStyle w:val="FootnoteReference"/>
        </w:rPr>
        <w:footnoteReference w:id="29"/>
      </w:r>
    </w:p>
    <w:p w14:paraId="544DC490" w14:textId="6E8D8A87" w:rsidR="003516EB" w:rsidRDefault="00BF5A2A">
      <w:pPr>
        <w:spacing w:line="480" w:lineRule="auto"/>
        <w:ind w:firstLine="720"/>
        <w:jc w:val="both"/>
      </w:pPr>
      <w:r>
        <w:t xml:space="preserve">Finally, the plan </w:t>
      </w:r>
      <w:r w:rsidR="003516EB">
        <w:t>was</w:t>
      </w:r>
      <w:r>
        <w:t xml:space="preserve"> an initiative </w:t>
      </w:r>
      <w:r w:rsidR="003516EB">
        <w:t>launched by</w:t>
      </w:r>
      <w:r>
        <w:t xml:space="preserve"> the prior </w:t>
      </w:r>
      <w:r w:rsidR="003516EB">
        <w:t xml:space="preserve">Mayoral </w:t>
      </w:r>
      <w:r>
        <w:t>administration, and the current administration has not stated whether it will continue, revise, or replace it. EDC still has no permanent president (its chief financial officer is still serving as interim president and CEO)</w:t>
      </w:r>
      <w:r w:rsidR="003516EB">
        <w:t>,</w:t>
      </w:r>
      <w:r>
        <w:t xml:space="preserve"> and the </w:t>
      </w:r>
      <w:r w:rsidR="003516EB">
        <w:t xml:space="preserve">Mamdani </w:t>
      </w:r>
      <w:r>
        <w:t>administration has not provided a timeline for a permanent appointment.</w:t>
      </w:r>
      <w:r>
        <w:rPr>
          <w:rStyle w:val="FootnoteReference"/>
        </w:rPr>
        <w:footnoteReference w:id="30"/>
      </w:r>
      <w:r>
        <w:t xml:space="preserve"> </w:t>
      </w:r>
    </w:p>
    <w:p w14:paraId="5F3C9046" w14:textId="58997480" w:rsidR="00C1227D" w:rsidRDefault="00BF5A2A">
      <w:pPr>
        <w:spacing w:line="480" w:lineRule="auto"/>
        <w:ind w:firstLine="720"/>
        <w:jc w:val="both"/>
      </w:pPr>
      <w:r>
        <w:lastRenderedPageBreak/>
        <w:t>The administration has separately announced its own green</w:t>
      </w:r>
      <w:r w:rsidR="003516EB">
        <w:t xml:space="preserve"> </w:t>
      </w:r>
      <w:r>
        <w:t xml:space="preserve">workforce pilot in partnership with The Doe Fund: a $4.5 million, three-year program announced in April 2026 and known as Green Readiness Opportunities for the Workforce, or GROW, which is led by the Department of Environmental Protection and </w:t>
      </w:r>
      <w:r w:rsidR="003516EB">
        <w:t xml:space="preserve">would </w:t>
      </w:r>
      <w:r>
        <w:t>train an initial crew of workers</w:t>
      </w:r>
      <w:r w:rsidR="003516EB">
        <w:t xml:space="preserve"> </w:t>
      </w:r>
      <w:r>
        <w:t>to maintain green stormwater infrastructure.</w:t>
      </w:r>
      <w:r w:rsidR="003516EB">
        <w:rPr>
          <w:rStyle w:val="FootnoteReference"/>
        </w:rPr>
        <w:footnoteReference w:id="31"/>
      </w:r>
      <w:r>
        <w:t xml:space="preserve"> </w:t>
      </w:r>
      <w:r w:rsidR="003516EB">
        <w:t>Notably, the GROW</w:t>
      </w:r>
      <w:r>
        <w:t xml:space="preserve"> pilot was launched outside the framework of the </w:t>
      </w:r>
      <w:r w:rsidR="003516EB">
        <w:t>GEAP</w:t>
      </w:r>
      <w:r>
        <w:t>.</w:t>
      </w:r>
      <w:r>
        <w:rPr>
          <w:rStyle w:val="FootnoteReference"/>
        </w:rPr>
        <w:footnoteReference w:id="32"/>
      </w:r>
      <w:r>
        <w:t xml:space="preserve"> The Committees are interested in how </w:t>
      </w:r>
      <w:r w:rsidR="003516EB">
        <w:t>the GROW</w:t>
      </w:r>
      <w:r>
        <w:t xml:space="preserve"> plan fits within the new administration’s economic and climate priorities</w:t>
      </w:r>
      <w:r w:rsidR="003516EB">
        <w:t xml:space="preserve">, and, if successful, whether </w:t>
      </w:r>
      <w:r w:rsidR="00750B1B">
        <w:t xml:space="preserve">components of GROW are </w:t>
      </w:r>
      <w:r w:rsidR="003516EB">
        <w:t>designed to replace the GEAP in the long term</w:t>
      </w:r>
      <w:r>
        <w:t>.</w:t>
      </w:r>
    </w:p>
    <w:p w14:paraId="3177C9BD" w14:textId="1D0A4561" w:rsidR="00C1227D" w:rsidRPr="005857A3" w:rsidRDefault="005857A3" w:rsidP="005857A3">
      <w:pPr>
        <w:pStyle w:val="ListParagraph"/>
        <w:numPr>
          <w:ilvl w:val="0"/>
          <w:numId w:val="2"/>
        </w:numPr>
        <w:spacing w:line="480" w:lineRule="auto"/>
        <w:rPr>
          <w:b/>
          <w:bCs/>
        </w:rPr>
      </w:pPr>
      <w:r>
        <w:rPr>
          <w:b/>
          <w:bCs/>
        </w:rPr>
        <w:t>CONCLUSION</w:t>
      </w:r>
    </w:p>
    <w:p w14:paraId="5B83183F" w14:textId="0B6AF4AF" w:rsidR="00C1227D" w:rsidRDefault="00BF5A2A">
      <w:pPr>
        <w:spacing w:line="480" w:lineRule="auto"/>
        <w:ind w:firstLine="720"/>
        <w:jc w:val="both"/>
      </w:pPr>
      <w:r>
        <w:t xml:space="preserve">The Committees seek to understand whether the City intends to continue, revise, or replace the Green Economy Action Plan, and which of its commitments remain a priority for the </w:t>
      </w:r>
      <w:r w:rsidR="003516EB">
        <w:t>Mamdani</w:t>
      </w:r>
      <w:r>
        <w:t xml:space="preserve"> administration. The Committees are also interested in the status of the plan’s signature commitments, in particular the South Brooklyn Marine Terminal and Empire Wind, and how the City is measuring progress toward the plan’s job-creation targets in light of federal </w:t>
      </w:r>
      <w:r w:rsidR="00750B1B">
        <w:t>resistance</w:t>
      </w:r>
      <w:r>
        <w:t xml:space="preserve"> and </w:t>
      </w:r>
      <w:r w:rsidR="003516EB">
        <w:t>the slowing of</w:t>
      </w:r>
      <w:r>
        <w:t xml:space="preserve"> </w:t>
      </w:r>
      <w:r w:rsidR="003516EB">
        <w:t xml:space="preserve">growth in </w:t>
      </w:r>
      <w:r>
        <w:t>green</w:t>
      </w:r>
      <w:r w:rsidR="003516EB">
        <w:t xml:space="preserve"> </w:t>
      </w:r>
      <w:r>
        <w:t>job</w:t>
      </w:r>
      <w:r w:rsidR="003516EB">
        <w:t>s</w:t>
      </w:r>
      <w:r>
        <w:t>. The Committees also seek to understand how EDC and NYC Talent intend to sustain the plan’s workforce commitments</w:t>
      </w:r>
      <w:r w:rsidR="003516EB">
        <w:t xml:space="preserve"> </w:t>
      </w:r>
      <w:r>
        <w:t>and how the Council can support that work.</w:t>
      </w:r>
    </w:p>
    <w:sectPr w:rsidR="00C1227D" w:rsidSect="00BE0B27">
      <w:footerReference w:type="even"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E4937" w14:textId="77777777" w:rsidR="00FD3D36" w:rsidRDefault="00FD3D36">
      <w:r>
        <w:separator/>
      </w:r>
    </w:p>
  </w:endnote>
  <w:endnote w:type="continuationSeparator" w:id="0">
    <w:p w14:paraId="6629C421" w14:textId="77777777" w:rsidR="00FD3D36" w:rsidRDefault="00FD3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3501588"/>
      <w:docPartObj>
        <w:docPartGallery w:val="Page Numbers (Bottom of Page)"/>
        <w:docPartUnique/>
      </w:docPartObj>
    </w:sdtPr>
    <w:sdtEndPr>
      <w:rPr>
        <w:rStyle w:val="PageNumber"/>
      </w:rPr>
    </w:sdtEndPr>
    <w:sdtContent>
      <w:p w14:paraId="77149FE8" w14:textId="6A0EC9D9" w:rsidR="00BE0B27" w:rsidRDefault="00BE0B27" w:rsidP="00F373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636233410"/>
      <w:docPartObj>
        <w:docPartGallery w:val="Page Numbers (Bottom of Page)"/>
        <w:docPartUnique/>
      </w:docPartObj>
    </w:sdtPr>
    <w:sdtEndPr>
      <w:rPr>
        <w:rStyle w:val="PageNumber"/>
      </w:rPr>
    </w:sdtEndPr>
    <w:sdtContent>
      <w:p w14:paraId="338B7108" w14:textId="3DEC11F5" w:rsidR="00BE0B27" w:rsidRDefault="00BE0B27" w:rsidP="00F373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25CB2EF" w14:textId="77777777" w:rsidR="00BE0B27" w:rsidRDefault="00BE0B27" w:rsidP="00BE0B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3733064"/>
      <w:docPartObj>
        <w:docPartGallery w:val="Page Numbers (Bottom of Page)"/>
        <w:docPartUnique/>
      </w:docPartObj>
    </w:sdtPr>
    <w:sdtEndPr>
      <w:rPr>
        <w:rStyle w:val="PageNumber"/>
      </w:rPr>
    </w:sdtEndPr>
    <w:sdtContent>
      <w:p w14:paraId="4937B942" w14:textId="3EBE534D" w:rsidR="00BE0B27" w:rsidRDefault="00BE0B27" w:rsidP="00BE0B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D6ED45" w14:textId="109F4571" w:rsidR="00C1227D" w:rsidRDefault="00C1227D" w:rsidP="00BE0B27">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7A90D" w14:textId="77777777" w:rsidR="00FD3D36" w:rsidRDefault="00FD3D36">
      <w:r>
        <w:separator/>
      </w:r>
    </w:p>
  </w:footnote>
  <w:footnote w:type="continuationSeparator" w:id="0">
    <w:p w14:paraId="720299D2" w14:textId="77777777" w:rsidR="00FD3D36" w:rsidRDefault="00FD3D36">
      <w:r>
        <w:continuationSeparator/>
      </w:r>
    </w:p>
  </w:footnote>
  <w:footnote w:id="1">
    <w:p w14:paraId="7E92F363" w14:textId="7F420B6D" w:rsidR="00C1227D" w:rsidRPr="00750B1B" w:rsidRDefault="00BF5A2A">
      <w:pPr>
        <w:rPr>
          <w:sz w:val="20"/>
          <w:szCs w:val="20"/>
        </w:rPr>
      </w:pPr>
      <w:r w:rsidRPr="00750B1B">
        <w:rPr>
          <w:rStyle w:val="FootnoteReference"/>
          <w:sz w:val="20"/>
          <w:szCs w:val="20"/>
        </w:rPr>
        <w:footnoteRef/>
      </w:r>
      <w:r w:rsidR="003516EB" w:rsidRPr="00750B1B">
        <w:rPr>
          <w:i/>
          <w:iCs/>
          <w:sz w:val="20"/>
          <w:szCs w:val="20"/>
        </w:rPr>
        <w:t xml:space="preserve">See </w:t>
      </w:r>
      <w:r w:rsidRPr="00750B1B">
        <w:rPr>
          <w:sz w:val="20"/>
          <w:szCs w:val="20"/>
        </w:rPr>
        <w:t>New York City Economic Development Corporation</w:t>
      </w:r>
      <w:r w:rsidR="00FA08C0" w:rsidRPr="00750B1B">
        <w:rPr>
          <w:sz w:val="20"/>
          <w:szCs w:val="20"/>
        </w:rPr>
        <w:t xml:space="preserve">, </w:t>
      </w:r>
      <w:r w:rsidRPr="00750B1B">
        <w:rPr>
          <w:sz w:val="20"/>
          <w:szCs w:val="20"/>
        </w:rPr>
        <w:t xml:space="preserve">Press Release, </w:t>
      </w:r>
      <w:r w:rsidRPr="00750B1B">
        <w:rPr>
          <w:i/>
          <w:iCs/>
          <w:sz w:val="20"/>
          <w:szCs w:val="20"/>
        </w:rPr>
        <w:t>Mayor Adams, NYCEDC, and NYC Talent Release Green Economy Action Plan</w:t>
      </w:r>
      <w:r w:rsidRPr="00750B1B">
        <w:rPr>
          <w:sz w:val="20"/>
          <w:szCs w:val="20"/>
        </w:rPr>
        <w:t xml:space="preserve"> (Feb. 28, 2024), </w:t>
      </w:r>
      <w:r w:rsidRPr="00750B1B">
        <w:rPr>
          <w:i/>
          <w:iCs/>
          <w:sz w:val="20"/>
          <w:szCs w:val="20"/>
        </w:rPr>
        <w:t>available at</w:t>
      </w:r>
      <w:r w:rsidRPr="00750B1B">
        <w:rPr>
          <w:sz w:val="20"/>
          <w:szCs w:val="20"/>
        </w:rPr>
        <w:t xml:space="preserve"> https://edc.nyc/press-release/green-economy-action-plan.</w:t>
      </w:r>
    </w:p>
  </w:footnote>
  <w:footnote w:id="2">
    <w:p w14:paraId="66902435" w14:textId="723663E1" w:rsidR="00C1227D" w:rsidRPr="00750B1B" w:rsidRDefault="00BF5A2A">
      <w:pPr>
        <w:rPr>
          <w:sz w:val="20"/>
          <w:szCs w:val="20"/>
        </w:rPr>
      </w:pPr>
      <w:r w:rsidRPr="00750B1B">
        <w:rPr>
          <w:rStyle w:val="FootnoteReference"/>
          <w:sz w:val="20"/>
          <w:szCs w:val="20"/>
        </w:rPr>
        <w:footnoteRef/>
      </w:r>
      <w:r w:rsidR="000D0A87" w:rsidRPr="00750B1B">
        <w:rPr>
          <w:i/>
          <w:iCs/>
          <w:sz w:val="20"/>
          <w:szCs w:val="20"/>
        </w:rPr>
        <w:t xml:space="preserve">See </w:t>
      </w:r>
      <w:r w:rsidR="003516EB" w:rsidRPr="00750B1B">
        <w:rPr>
          <w:sz w:val="20"/>
          <w:szCs w:val="20"/>
        </w:rPr>
        <w:t>New York City Economic Development Corporation</w:t>
      </w:r>
      <w:r w:rsidRPr="00750B1B">
        <w:rPr>
          <w:sz w:val="20"/>
          <w:szCs w:val="20"/>
        </w:rPr>
        <w:t xml:space="preserve">, </w:t>
      </w:r>
      <w:r w:rsidRPr="00750B1B">
        <w:rPr>
          <w:i/>
          <w:iCs/>
          <w:sz w:val="20"/>
          <w:szCs w:val="20"/>
        </w:rPr>
        <w:t>Green Economy Action Plan</w:t>
      </w:r>
      <w:r w:rsidRPr="00750B1B">
        <w:rPr>
          <w:sz w:val="20"/>
          <w:szCs w:val="20"/>
        </w:rPr>
        <w:t xml:space="preserve"> (Feb. 2024), </w:t>
      </w:r>
      <w:r w:rsidRPr="00750B1B">
        <w:rPr>
          <w:i/>
          <w:iCs/>
          <w:sz w:val="20"/>
          <w:szCs w:val="20"/>
        </w:rPr>
        <w:t>available at</w:t>
      </w:r>
      <w:r w:rsidRPr="00750B1B">
        <w:rPr>
          <w:sz w:val="20"/>
          <w:szCs w:val="20"/>
        </w:rPr>
        <w:t xml:space="preserve"> https://edc.nyc/green-economy-action-plan.</w:t>
      </w:r>
    </w:p>
  </w:footnote>
  <w:footnote w:id="3">
    <w:p w14:paraId="16A9D622" w14:textId="0C678D51" w:rsidR="000D0A87" w:rsidRPr="00750B1B" w:rsidRDefault="000D0A87">
      <w:pPr>
        <w:pStyle w:val="FootnoteText"/>
      </w:pPr>
      <w:r w:rsidRPr="00750B1B">
        <w:rPr>
          <w:rStyle w:val="FootnoteReference"/>
        </w:rPr>
        <w:footnoteRef/>
      </w:r>
      <w:r w:rsidRPr="00750B1B">
        <w:t xml:space="preserve"> </w:t>
      </w:r>
      <w:r w:rsidRPr="00750B1B">
        <w:rPr>
          <w:i/>
          <w:iCs/>
        </w:rPr>
        <w:t>See id.</w:t>
      </w:r>
    </w:p>
  </w:footnote>
  <w:footnote w:id="4">
    <w:p w14:paraId="42CA0036" w14:textId="1AF13AB3" w:rsidR="00C1227D" w:rsidRPr="00750B1B" w:rsidRDefault="00BF5A2A">
      <w:pPr>
        <w:rPr>
          <w:i/>
          <w:iCs/>
          <w:sz w:val="20"/>
          <w:szCs w:val="20"/>
        </w:rPr>
      </w:pPr>
      <w:r w:rsidRPr="00750B1B">
        <w:rPr>
          <w:rStyle w:val="FootnoteReference"/>
          <w:sz w:val="20"/>
          <w:szCs w:val="20"/>
        </w:rPr>
        <w:footnoteRef/>
      </w:r>
      <w:r w:rsidR="000D0A87" w:rsidRPr="00750B1B">
        <w:rPr>
          <w:sz w:val="20"/>
          <w:szCs w:val="20"/>
        </w:rPr>
        <w:t xml:space="preserve"> </w:t>
      </w:r>
      <w:r w:rsidR="000D0A87" w:rsidRPr="00750B1B">
        <w:rPr>
          <w:i/>
          <w:iCs/>
          <w:sz w:val="20"/>
          <w:szCs w:val="20"/>
        </w:rPr>
        <w:t>See id.</w:t>
      </w:r>
    </w:p>
  </w:footnote>
  <w:footnote w:id="5">
    <w:p w14:paraId="5A76F43A" w14:textId="384C69F3"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00FA08C0" w:rsidRPr="00750B1B">
        <w:rPr>
          <w:i/>
          <w:iCs/>
          <w:sz w:val="20"/>
          <w:szCs w:val="20"/>
        </w:rPr>
        <w:t xml:space="preserve">See </w:t>
      </w:r>
      <w:r w:rsidRPr="00750B1B">
        <w:rPr>
          <w:sz w:val="20"/>
          <w:szCs w:val="20"/>
        </w:rPr>
        <w:t xml:space="preserve">NYC Office of Talent and Workforce Development, </w:t>
      </w:r>
      <w:r w:rsidRPr="00750B1B">
        <w:rPr>
          <w:i/>
          <w:iCs/>
          <w:sz w:val="20"/>
          <w:szCs w:val="20"/>
        </w:rPr>
        <w:t>Green Economy Action Plan</w:t>
      </w:r>
      <w:r w:rsidRPr="00750B1B">
        <w:rPr>
          <w:sz w:val="20"/>
          <w:szCs w:val="20"/>
        </w:rPr>
        <w:t xml:space="preserve">, </w:t>
      </w:r>
      <w:r w:rsidRPr="00750B1B">
        <w:rPr>
          <w:i/>
          <w:iCs/>
          <w:sz w:val="20"/>
          <w:szCs w:val="20"/>
        </w:rPr>
        <w:t>available at</w:t>
      </w:r>
      <w:r w:rsidRPr="00750B1B">
        <w:rPr>
          <w:sz w:val="20"/>
          <w:szCs w:val="20"/>
        </w:rPr>
        <w:t xml:space="preserve"> https://www.nyc.gov/site/wkdev/recent-initiatives/green-economy-action-plan.page.</w:t>
      </w:r>
    </w:p>
  </w:footnote>
  <w:footnote w:id="6">
    <w:p w14:paraId="19879697" w14:textId="1F266530" w:rsidR="000D0A87" w:rsidRPr="00750B1B" w:rsidRDefault="000D0A87">
      <w:pPr>
        <w:pStyle w:val="FootnoteText"/>
      </w:pPr>
      <w:r w:rsidRPr="00750B1B">
        <w:rPr>
          <w:rStyle w:val="FootnoteReference"/>
        </w:rPr>
        <w:footnoteRef/>
      </w:r>
      <w:r w:rsidRPr="00750B1B">
        <w:t xml:space="preserve"> </w:t>
      </w:r>
      <w:r w:rsidRPr="00750B1B">
        <w:rPr>
          <w:i/>
          <w:iCs/>
        </w:rPr>
        <w:t xml:space="preserve">See </w:t>
      </w:r>
      <w:r w:rsidRPr="00750B1B">
        <w:t xml:space="preserve">NYCEDC &amp; NYC Talent, Green Economy Action Plan (February 2024) </w:t>
      </w:r>
      <w:r w:rsidRPr="00750B1B">
        <w:rPr>
          <w:i/>
          <w:iCs/>
        </w:rPr>
        <w:t xml:space="preserve">available at </w:t>
      </w:r>
      <w:r w:rsidRPr="00750B1B">
        <w:t>https://edc.nyc/sites/default/files/2024-03/NYCEDC-Green-Economy-Action-Plan-03-22-2024.pdf</w:t>
      </w:r>
    </w:p>
  </w:footnote>
  <w:footnote w:id="7">
    <w:p w14:paraId="2D476C89" w14:textId="399964C7" w:rsidR="000D0A87" w:rsidRPr="00750B1B" w:rsidRDefault="000D0A87">
      <w:pPr>
        <w:pStyle w:val="FootnoteText"/>
        <w:rPr>
          <w:i/>
          <w:iCs/>
        </w:rPr>
      </w:pPr>
      <w:r w:rsidRPr="00750B1B">
        <w:rPr>
          <w:rStyle w:val="FootnoteReference"/>
        </w:rPr>
        <w:footnoteRef/>
      </w:r>
      <w:r w:rsidRPr="00750B1B">
        <w:t xml:space="preserve"> </w:t>
      </w:r>
      <w:r w:rsidRPr="00750B1B">
        <w:rPr>
          <w:i/>
          <w:iCs/>
        </w:rPr>
        <w:t>See id.</w:t>
      </w:r>
    </w:p>
  </w:footnote>
  <w:footnote w:id="8">
    <w:p w14:paraId="62471691" w14:textId="3FE14F14" w:rsidR="000D0A87" w:rsidRPr="00750B1B" w:rsidRDefault="000D0A87">
      <w:pPr>
        <w:pStyle w:val="FootnoteText"/>
        <w:rPr>
          <w:i/>
          <w:iCs/>
        </w:rPr>
      </w:pPr>
      <w:r w:rsidRPr="00750B1B">
        <w:rPr>
          <w:rStyle w:val="FootnoteReference"/>
        </w:rPr>
        <w:footnoteRef/>
      </w:r>
      <w:r w:rsidRPr="00750B1B">
        <w:t xml:space="preserve"> </w:t>
      </w:r>
      <w:r w:rsidRPr="00750B1B">
        <w:rPr>
          <w:i/>
          <w:iCs/>
        </w:rPr>
        <w:t>See id.</w:t>
      </w:r>
    </w:p>
  </w:footnote>
  <w:footnote w:id="9">
    <w:p w14:paraId="20844265" w14:textId="5FDC11BF" w:rsidR="00C1227D" w:rsidRPr="00750B1B" w:rsidRDefault="00BF5A2A">
      <w:pPr>
        <w:rPr>
          <w:sz w:val="20"/>
          <w:szCs w:val="20"/>
        </w:rPr>
      </w:pPr>
      <w:r w:rsidRPr="00750B1B">
        <w:rPr>
          <w:rStyle w:val="FootnoteReference"/>
          <w:sz w:val="20"/>
          <w:szCs w:val="20"/>
        </w:rPr>
        <w:footnoteRef/>
      </w:r>
      <w:r w:rsidR="003516EB" w:rsidRPr="00750B1B">
        <w:rPr>
          <w:sz w:val="20"/>
          <w:szCs w:val="20"/>
        </w:rPr>
        <w:t xml:space="preserve"> </w:t>
      </w:r>
      <w:r w:rsidR="003516EB" w:rsidRPr="00750B1B">
        <w:rPr>
          <w:i/>
          <w:iCs/>
          <w:sz w:val="20"/>
          <w:szCs w:val="20"/>
        </w:rPr>
        <w:t xml:space="preserve">See </w:t>
      </w:r>
      <w:r w:rsidRPr="00750B1B">
        <w:rPr>
          <w:sz w:val="20"/>
          <w:szCs w:val="20"/>
        </w:rPr>
        <w:t xml:space="preserve">Office of the </w:t>
      </w:r>
      <w:r w:rsidR="00122285" w:rsidRPr="00750B1B">
        <w:rPr>
          <w:sz w:val="20"/>
          <w:szCs w:val="20"/>
        </w:rPr>
        <w:t xml:space="preserve">N.Y.C. </w:t>
      </w:r>
      <w:r w:rsidRPr="00750B1B">
        <w:rPr>
          <w:sz w:val="20"/>
          <w:szCs w:val="20"/>
        </w:rPr>
        <w:t>Mayor, Executive Order No. 2 (2026)</w:t>
      </w:r>
      <w:r w:rsidR="003516EB" w:rsidRPr="00750B1B">
        <w:rPr>
          <w:sz w:val="20"/>
          <w:szCs w:val="20"/>
        </w:rPr>
        <w:t xml:space="preserve">, </w:t>
      </w:r>
      <w:r w:rsidR="003516EB" w:rsidRPr="00750B1B">
        <w:rPr>
          <w:i/>
          <w:iCs/>
          <w:sz w:val="20"/>
          <w:szCs w:val="20"/>
        </w:rPr>
        <w:t xml:space="preserve">available at </w:t>
      </w:r>
      <w:r w:rsidR="003516EB" w:rsidRPr="00750B1B">
        <w:rPr>
          <w:sz w:val="20"/>
          <w:szCs w:val="20"/>
        </w:rPr>
        <w:t>https://www.nyc.gov/mayors-office/news/2026/01/executive-order-02</w:t>
      </w:r>
      <w:r w:rsidRPr="00750B1B">
        <w:rPr>
          <w:sz w:val="20"/>
          <w:szCs w:val="20"/>
        </w:rPr>
        <w:t>.</w:t>
      </w:r>
    </w:p>
  </w:footnote>
  <w:footnote w:id="10">
    <w:p w14:paraId="0CF3D0B2" w14:textId="0E5D5CEC" w:rsidR="00C1227D" w:rsidRPr="00750B1B" w:rsidRDefault="00BF5A2A">
      <w:pPr>
        <w:rPr>
          <w:sz w:val="20"/>
          <w:szCs w:val="20"/>
        </w:rPr>
      </w:pPr>
      <w:r w:rsidRPr="00750B1B">
        <w:rPr>
          <w:rStyle w:val="FootnoteReference"/>
          <w:sz w:val="20"/>
          <w:szCs w:val="20"/>
        </w:rPr>
        <w:footnoteRef/>
      </w:r>
      <w:r w:rsidR="003516EB" w:rsidRPr="00750B1B">
        <w:rPr>
          <w:i/>
          <w:iCs/>
          <w:sz w:val="20"/>
          <w:szCs w:val="20"/>
        </w:rPr>
        <w:t xml:space="preserve"> See </w:t>
      </w:r>
      <w:r w:rsidRPr="00750B1B">
        <w:rPr>
          <w:sz w:val="20"/>
          <w:szCs w:val="20"/>
        </w:rPr>
        <w:t xml:space="preserve">Greg David, </w:t>
      </w:r>
      <w:r w:rsidRPr="00750B1B">
        <w:rPr>
          <w:i/>
          <w:iCs/>
          <w:sz w:val="20"/>
          <w:szCs w:val="20"/>
        </w:rPr>
        <w:t>Mamdani’s Economic Justice Deputy Wants a Bigger Pie</w:t>
      </w:r>
      <w:r w:rsidRPr="00750B1B">
        <w:rPr>
          <w:sz w:val="20"/>
          <w:szCs w:val="20"/>
        </w:rPr>
        <w:t xml:space="preserve">, THE CITY (Apr. 29, 2026), </w:t>
      </w:r>
      <w:r w:rsidRPr="00750B1B">
        <w:rPr>
          <w:i/>
          <w:iCs/>
          <w:sz w:val="20"/>
          <w:szCs w:val="20"/>
        </w:rPr>
        <w:t>available at</w:t>
      </w:r>
      <w:r w:rsidRPr="00750B1B">
        <w:rPr>
          <w:sz w:val="20"/>
          <w:szCs w:val="20"/>
        </w:rPr>
        <w:t xml:space="preserve"> </w:t>
      </w:r>
      <w:r w:rsidR="003516EB" w:rsidRPr="00750B1B">
        <w:rPr>
          <w:sz w:val="20"/>
          <w:szCs w:val="20"/>
        </w:rPr>
        <w:t>https://www.thecityreporter.nyc/2026/04/29/julie-su-mamdani-economy-housing-citadel-ken-griffin</w:t>
      </w:r>
    </w:p>
  </w:footnote>
  <w:footnote w:id="11">
    <w:p w14:paraId="0099F264" w14:textId="606E165A" w:rsidR="00C1227D" w:rsidRPr="00750B1B" w:rsidRDefault="00BF5A2A">
      <w:pPr>
        <w:rPr>
          <w:sz w:val="20"/>
          <w:szCs w:val="20"/>
        </w:rPr>
      </w:pPr>
      <w:r w:rsidRPr="00750B1B">
        <w:rPr>
          <w:rStyle w:val="FootnoteReference"/>
          <w:sz w:val="20"/>
          <w:szCs w:val="20"/>
        </w:rPr>
        <w:footnoteRef/>
      </w:r>
      <w:r w:rsidR="003516EB" w:rsidRPr="00750B1B">
        <w:rPr>
          <w:i/>
          <w:iCs/>
          <w:sz w:val="20"/>
          <w:szCs w:val="20"/>
        </w:rPr>
        <w:t>See</w:t>
      </w:r>
      <w:r w:rsidRPr="00750B1B">
        <w:rPr>
          <w:sz w:val="20"/>
          <w:szCs w:val="20"/>
        </w:rPr>
        <w:t xml:space="preserve"> Mayor Adams Announces Agreement to Transform South Brooklyn Marine Terminal into Leading Offshore Wind Hub, NYCEDC (Mar. 3, 2022), </w:t>
      </w:r>
      <w:r w:rsidRPr="00750B1B">
        <w:rPr>
          <w:i/>
          <w:iCs/>
          <w:sz w:val="20"/>
          <w:szCs w:val="20"/>
        </w:rPr>
        <w:t xml:space="preserve">available at </w:t>
      </w:r>
      <w:r w:rsidRPr="00750B1B">
        <w:rPr>
          <w:sz w:val="20"/>
          <w:szCs w:val="20"/>
        </w:rPr>
        <w:t>https://edc.nyc/press-release/south-brooklyn-marine-terminal-set-to-become-leading-offshore-wind-hub.</w:t>
      </w:r>
    </w:p>
  </w:footnote>
  <w:footnote w:id="12">
    <w:p w14:paraId="2F77E911" w14:textId="10E010F9" w:rsidR="00C1227D" w:rsidRPr="00750B1B" w:rsidRDefault="00BF5A2A">
      <w:pPr>
        <w:rPr>
          <w:sz w:val="20"/>
          <w:szCs w:val="20"/>
        </w:rPr>
      </w:pPr>
      <w:r w:rsidRPr="00750B1B">
        <w:rPr>
          <w:rStyle w:val="FootnoteReference"/>
          <w:sz w:val="20"/>
          <w:szCs w:val="20"/>
        </w:rPr>
        <w:footnoteRef/>
      </w:r>
      <w:r w:rsidR="003516EB" w:rsidRPr="00750B1B">
        <w:rPr>
          <w:i/>
          <w:iCs/>
          <w:sz w:val="20"/>
          <w:szCs w:val="20"/>
        </w:rPr>
        <w:t xml:space="preserve"> </w:t>
      </w:r>
      <w:r w:rsidRPr="00750B1B">
        <w:rPr>
          <w:i/>
          <w:iCs/>
          <w:sz w:val="20"/>
          <w:szCs w:val="20"/>
        </w:rPr>
        <w:t>See</w:t>
      </w:r>
      <w:r w:rsidR="003516EB" w:rsidRPr="00750B1B">
        <w:rPr>
          <w:sz w:val="20"/>
          <w:szCs w:val="20"/>
        </w:rPr>
        <w:t xml:space="preserve"> NYCEDC,</w:t>
      </w:r>
      <w:r w:rsidRPr="00750B1B">
        <w:rPr>
          <w:sz w:val="20"/>
          <w:szCs w:val="20"/>
        </w:rPr>
        <w:t xml:space="preserve"> </w:t>
      </w:r>
      <w:r w:rsidRPr="00750B1B">
        <w:rPr>
          <w:i/>
          <w:iCs/>
          <w:sz w:val="20"/>
          <w:szCs w:val="20"/>
        </w:rPr>
        <w:t>Mayor Adams, Governor Hochul, NYCEDC, Equinor, SSBMT Announce Start of Construction to Transform South Brooklyn Marine Terminal into Nation’s Largest Offshore Wind Port</w:t>
      </w:r>
      <w:r w:rsidRPr="00750B1B">
        <w:rPr>
          <w:sz w:val="20"/>
          <w:szCs w:val="20"/>
        </w:rPr>
        <w:t xml:space="preserve">, (June 10, 2024), </w:t>
      </w:r>
      <w:r w:rsidR="003516EB" w:rsidRPr="00750B1B">
        <w:rPr>
          <w:sz w:val="20"/>
          <w:szCs w:val="20"/>
        </w:rPr>
        <w:t xml:space="preserve">Press Release, </w:t>
      </w:r>
      <w:r w:rsidRPr="00750B1B">
        <w:rPr>
          <w:i/>
          <w:iCs/>
          <w:sz w:val="20"/>
          <w:szCs w:val="20"/>
        </w:rPr>
        <w:t>available at</w:t>
      </w:r>
      <w:r w:rsidRPr="00750B1B">
        <w:rPr>
          <w:sz w:val="20"/>
          <w:szCs w:val="20"/>
        </w:rPr>
        <w:t xml:space="preserve"> https://edc.nyc/press-release/construction-underway-transform-sbmt-into-largest-us-offshore-wind-port.</w:t>
      </w:r>
    </w:p>
  </w:footnote>
  <w:footnote w:id="13">
    <w:p w14:paraId="2634F7C3" w14:textId="4FB17033"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w:t>
      </w:r>
      <w:r w:rsidR="00111198" w:rsidRPr="00750B1B">
        <w:rPr>
          <w:sz w:val="20"/>
          <w:szCs w:val="20"/>
        </w:rPr>
        <w:t xml:space="preserve">N.Y. State Energy Research &amp; Dev. Auth., </w:t>
      </w:r>
      <w:r w:rsidRPr="00750B1B">
        <w:rPr>
          <w:i/>
          <w:iCs/>
          <w:sz w:val="20"/>
          <w:szCs w:val="20"/>
        </w:rPr>
        <w:t>Start of Construction Announced on Transformation of South Brooklyn Marine Terminal Into Nation’s Largest Offshore Wind Hub</w:t>
      </w:r>
      <w:r w:rsidRPr="00750B1B">
        <w:rPr>
          <w:sz w:val="20"/>
          <w:szCs w:val="20"/>
        </w:rPr>
        <w:t xml:space="preserve">, (June 10, 2024), </w:t>
      </w:r>
      <w:r w:rsidR="00111198" w:rsidRPr="00750B1B">
        <w:rPr>
          <w:sz w:val="20"/>
          <w:szCs w:val="20"/>
        </w:rPr>
        <w:t xml:space="preserve">Press Release, </w:t>
      </w:r>
      <w:r w:rsidRPr="00750B1B">
        <w:rPr>
          <w:i/>
          <w:iCs/>
          <w:sz w:val="20"/>
          <w:szCs w:val="20"/>
        </w:rPr>
        <w:t>available at</w:t>
      </w:r>
      <w:r w:rsidRPr="00750B1B">
        <w:rPr>
          <w:sz w:val="20"/>
          <w:szCs w:val="20"/>
        </w:rPr>
        <w:t xml:space="preserve"> </w:t>
      </w:r>
      <w:r w:rsidR="00111198" w:rsidRPr="00750B1B">
        <w:rPr>
          <w:sz w:val="20"/>
          <w:szCs w:val="20"/>
        </w:rPr>
        <w:t>https://www.nyserda.ny.gov/About/Newsroom/2024-Announcements/2024_06_10-Governor-Hochul-And-Mayor-Adams-Announce-Start-Of-Construction-On-Transformation-Of.</w:t>
      </w:r>
    </w:p>
  </w:footnote>
  <w:footnote w:id="14">
    <w:p w14:paraId="5911AB5C" w14:textId="58AF147A"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Equinor, </w:t>
      </w:r>
      <w:r w:rsidRPr="00750B1B">
        <w:rPr>
          <w:i/>
          <w:iCs/>
          <w:sz w:val="20"/>
          <w:szCs w:val="20"/>
        </w:rPr>
        <w:t>Empire to File Preliminary Injunction Against Lease Suspension Order</w:t>
      </w:r>
      <w:r w:rsidRPr="00750B1B">
        <w:rPr>
          <w:sz w:val="20"/>
          <w:szCs w:val="20"/>
        </w:rPr>
        <w:t xml:space="preserve"> (Jan. 2, 2026), </w:t>
      </w:r>
      <w:r w:rsidRPr="00750B1B">
        <w:rPr>
          <w:i/>
          <w:iCs/>
          <w:sz w:val="20"/>
          <w:szCs w:val="20"/>
        </w:rPr>
        <w:t>available at</w:t>
      </w:r>
      <w:r w:rsidRPr="00750B1B">
        <w:rPr>
          <w:sz w:val="20"/>
          <w:szCs w:val="20"/>
        </w:rPr>
        <w:t xml:space="preserve"> https://www.equinor.com/news/20260102-empire-wind</w:t>
      </w:r>
      <w:r w:rsidR="00111198" w:rsidRPr="00750B1B">
        <w:rPr>
          <w:sz w:val="20"/>
          <w:szCs w:val="20"/>
        </w:rPr>
        <w:t>.</w:t>
      </w:r>
    </w:p>
  </w:footnote>
  <w:footnote w:id="15">
    <w:p w14:paraId="61D96204" w14:textId="41CD5324" w:rsidR="00A63B9D" w:rsidRPr="00750B1B" w:rsidRDefault="00A63B9D" w:rsidP="00A63B9D">
      <w:pPr>
        <w:pStyle w:val="FootnoteText"/>
      </w:pPr>
      <w:r w:rsidRPr="00750B1B">
        <w:rPr>
          <w:rStyle w:val="FootnoteReference"/>
        </w:rPr>
        <w:footnoteRef/>
      </w:r>
      <w:r w:rsidRPr="00750B1B">
        <w:t xml:space="preserve"> </w:t>
      </w:r>
      <w:r w:rsidRPr="00750B1B">
        <w:rPr>
          <w:i/>
          <w:iCs/>
        </w:rPr>
        <w:t>See </w:t>
      </w:r>
      <w:r w:rsidR="00C0703C">
        <w:t xml:space="preserve">N.Y.C. Office of Mgmt. &amp; Budget, May 2026 Executive Capital Commitment Plan, Fiscal Year 2027 (May 12, 2026), </w:t>
      </w:r>
      <w:r w:rsidRPr="00750B1B">
        <w:t>a</w:t>
      </w:r>
      <w:r w:rsidRPr="00750B1B">
        <w:rPr>
          <w:i/>
          <w:iCs/>
        </w:rPr>
        <w:t>vailable at </w:t>
      </w:r>
      <w:r w:rsidRPr="00750B1B">
        <w:t>https://www.nyc.gov/content/omb/pages/publications/fy2027-executive-budget</w:t>
      </w:r>
    </w:p>
  </w:footnote>
  <w:footnote w:id="16">
    <w:p w14:paraId="5D6DE6AC" w14:textId="04FB1161" w:rsidR="00042A0A" w:rsidRPr="00750B1B" w:rsidRDefault="00042A0A">
      <w:pPr>
        <w:pStyle w:val="FootnoteText"/>
      </w:pPr>
      <w:r w:rsidRPr="00750B1B">
        <w:rPr>
          <w:rStyle w:val="FootnoteReference"/>
        </w:rPr>
        <w:footnoteRef/>
      </w:r>
      <w:r w:rsidRPr="00750B1B">
        <w:t xml:space="preserve"> </w:t>
      </w:r>
      <w:r w:rsidR="004C1DD6" w:rsidRPr="00750B1B">
        <w:rPr>
          <w:i/>
          <w:iCs/>
        </w:rPr>
        <w:t>See </w:t>
      </w:r>
      <w:r w:rsidR="00A63B9D" w:rsidRPr="00750B1B">
        <w:rPr>
          <w:i/>
          <w:iCs/>
        </w:rPr>
        <w:t>id.</w:t>
      </w:r>
    </w:p>
  </w:footnote>
  <w:footnote w:id="17">
    <w:p w14:paraId="18D8FB7B" w14:textId="3DD658DF" w:rsidR="00FA08C0" w:rsidRPr="00750B1B" w:rsidRDefault="00FA08C0" w:rsidP="00FA08C0">
      <w:pPr>
        <w:rPr>
          <w:sz w:val="20"/>
          <w:szCs w:val="20"/>
        </w:rPr>
      </w:pPr>
      <w:r w:rsidRPr="00750B1B">
        <w:rPr>
          <w:rStyle w:val="FootnoteReference"/>
          <w:sz w:val="20"/>
          <w:szCs w:val="20"/>
        </w:rPr>
        <w:footnoteRef/>
      </w:r>
      <w:r w:rsidR="00111198" w:rsidRPr="00750B1B">
        <w:rPr>
          <w:sz w:val="20"/>
          <w:szCs w:val="20"/>
        </w:rPr>
        <w:t xml:space="preserve"> </w:t>
      </w:r>
      <w:r w:rsidRPr="00750B1B">
        <w:rPr>
          <w:sz w:val="20"/>
          <w:szCs w:val="20"/>
        </w:rPr>
        <w:t>EDC</w:t>
      </w:r>
      <w:r w:rsidR="00111198" w:rsidRPr="00750B1B">
        <w:rPr>
          <w:sz w:val="20"/>
          <w:szCs w:val="20"/>
        </w:rPr>
        <w:t>’s other GEAP projects</w:t>
      </w:r>
      <w:r w:rsidRPr="00750B1B">
        <w:rPr>
          <w:sz w:val="20"/>
          <w:szCs w:val="20"/>
        </w:rPr>
        <w:t xml:space="preserve"> include the Harbor Climate Collaborative and Climate Exchange campuses, the BAT Works battery and electric-vehicle workforce hub, the Greenlight Fund, We Source NYC, and battery-storage development. </w:t>
      </w:r>
      <w:r w:rsidRPr="00750B1B">
        <w:rPr>
          <w:i/>
          <w:iCs/>
          <w:sz w:val="20"/>
          <w:szCs w:val="20"/>
        </w:rPr>
        <w:t>See</w:t>
      </w:r>
      <w:r w:rsidRPr="00750B1B">
        <w:rPr>
          <w:sz w:val="20"/>
          <w:szCs w:val="20"/>
        </w:rPr>
        <w:t xml:space="preserve"> Green Economy Action Plan, </w:t>
      </w:r>
      <w:r w:rsidRPr="00750B1B">
        <w:rPr>
          <w:i/>
          <w:iCs/>
          <w:sz w:val="20"/>
          <w:szCs w:val="20"/>
        </w:rPr>
        <w:t>supra</w:t>
      </w:r>
      <w:r w:rsidRPr="00750B1B">
        <w:rPr>
          <w:sz w:val="20"/>
          <w:szCs w:val="20"/>
        </w:rPr>
        <w:t xml:space="preserve"> note 2.</w:t>
      </w:r>
    </w:p>
  </w:footnote>
  <w:footnote w:id="18">
    <w:p w14:paraId="15E7D91E" w14:textId="1DB8C03F"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w:t>
      </w:r>
      <w:r w:rsidR="00111198" w:rsidRPr="00750B1B">
        <w:rPr>
          <w:sz w:val="20"/>
          <w:szCs w:val="20"/>
        </w:rPr>
        <w:t xml:space="preserve">Office of the N.Y.C. Mayor, </w:t>
      </w:r>
      <w:r w:rsidRPr="00750B1B">
        <w:rPr>
          <w:i/>
          <w:iCs/>
          <w:sz w:val="20"/>
          <w:szCs w:val="20"/>
        </w:rPr>
        <w:t>Mayor Adams Unveils Ambitious Plan to Make New York City Leader in ‘Green-Collar’ Jobs,</w:t>
      </w:r>
      <w:r w:rsidRPr="00750B1B">
        <w:rPr>
          <w:sz w:val="20"/>
          <w:szCs w:val="20"/>
        </w:rPr>
        <w:t xml:space="preserve"> (Feb. 28, 2024), </w:t>
      </w:r>
      <w:r w:rsidR="00111198" w:rsidRPr="00750B1B">
        <w:rPr>
          <w:sz w:val="20"/>
          <w:szCs w:val="20"/>
        </w:rPr>
        <w:t xml:space="preserve">Press Release, </w:t>
      </w:r>
      <w:r w:rsidRPr="00750B1B">
        <w:rPr>
          <w:i/>
          <w:iCs/>
          <w:sz w:val="20"/>
          <w:szCs w:val="20"/>
        </w:rPr>
        <w:t>available at</w:t>
      </w:r>
      <w:r w:rsidRPr="00750B1B">
        <w:rPr>
          <w:sz w:val="20"/>
          <w:szCs w:val="20"/>
        </w:rPr>
        <w:t xml:space="preserve"> https://www.nyc.gov/mayors-office/news/2024/02/mayor-adams-ambitious-plan-make-new-york-city-leader-green-collar-jobs.</w:t>
      </w:r>
    </w:p>
  </w:footnote>
  <w:footnote w:id="19">
    <w:p w14:paraId="580C6743" w14:textId="519F57E9" w:rsidR="00116E02" w:rsidRPr="00750B1B" w:rsidRDefault="00116E02">
      <w:pPr>
        <w:pStyle w:val="FootnoteText"/>
      </w:pPr>
      <w:r w:rsidRPr="00750B1B">
        <w:rPr>
          <w:rStyle w:val="FootnoteReference"/>
        </w:rPr>
        <w:footnoteRef/>
      </w:r>
      <w:r w:rsidRPr="00750B1B">
        <w:t xml:space="preserve"> </w:t>
      </w:r>
      <w:r w:rsidRPr="00750B1B">
        <w:rPr>
          <w:i/>
          <w:iCs/>
        </w:rPr>
        <w:t>See </w:t>
      </w:r>
      <w:r w:rsidRPr="00750B1B">
        <w:t>May 2026 Executive Capital Commitment Plan, Fiscal Year 2027 - Budget Publications (May 12, 2026), a</w:t>
      </w:r>
      <w:r w:rsidRPr="00750B1B">
        <w:rPr>
          <w:i/>
          <w:iCs/>
        </w:rPr>
        <w:t>vailable at </w:t>
      </w:r>
      <w:r w:rsidRPr="00750B1B">
        <w:t>https://www.nyc.gov/content/omb/pages/publications/fy2027-executive-budget</w:t>
      </w:r>
    </w:p>
  </w:footnote>
  <w:footnote w:id="20">
    <w:p w14:paraId="4418B322" w14:textId="5F9E3383"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w:t>
      </w:r>
      <w:r w:rsidR="00111198" w:rsidRPr="00750B1B">
        <w:rPr>
          <w:sz w:val="20"/>
          <w:szCs w:val="20"/>
        </w:rPr>
        <w:t xml:space="preserve">NYC Talent, </w:t>
      </w:r>
      <w:r w:rsidRPr="00750B1B">
        <w:rPr>
          <w:i/>
          <w:iCs/>
          <w:sz w:val="20"/>
          <w:szCs w:val="20"/>
        </w:rPr>
        <w:t>Green Economy Action Plan</w:t>
      </w:r>
      <w:r w:rsidRPr="00750B1B">
        <w:rPr>
          <w:sz w:val="20"/>
          <w:szCs w:val="20"/>
        </w:rPr>
        <w:t xml:space="preserve">, </w:t>
      </w:r>
      <w:r w:rsidRPr="00750B1B">
        <w:rPr>
          <w:i/>
          <w:iCs/>
          <w:sz w:val="20"/>
          <w:szCs w:val="20"/>
        </w:rPr>
        <w:t>supra</w:t>
      </w:r>
      <w:r w:rsidRPr="00750B1B">
        <w:rPr>
          <w:sz w:val="20"/>
          <w:szCs w:val="20"/>
        </w:rPr>
        <w:t xml:space="preserve"> note 5</w:t>
      </w:r>
      <w:r w:rsidR="00111198" w:rsidRPr="00750B1B">
        <w:rPr>
          <w:sz w:val="20"/>
          <w:szCs w:val="20"/>
        </w:rPr>
        <w:t>.</w:t>
      </w:r>
    </w:p>
  </w:footnote>
  <w:footnote w:id="21">
    <w:p w14:paraId="029CECC2" w14:textId="3FF76012"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Mayor Adams Unveils Ambitious Plan to Make New York City Leader in ‘Green-Collar’ Jobs, </w:t>
      </w:r>
      <w:r w:rsidRPr="00750B1B">
        <w:rPr>
          <w:i/>
          <w:iCs/>
          <w:sz w:val="20"/>
          <w:szCs w:val="20"/>
        </w:rPr>
        <w:t>supra</w:t>
      </w:r>
      <w:r w:rsidRPr="00750B1B">
        <w:rPr>
          <w:sz w:val="20"/>
          <w:szCs w:val="20"/>
        </w:rPr>
        <w:t xml:space="preserve"> note </w:t>
      </w:r>
      <w:r w:rsidR="00C0703C">
        <w:rPr>
          <w:sz w:val="20"/>
          <w:szCs w:val="20"/>
        </w:rPr>
        <w:t>18</w:t>
      </w:r>
      <w:r w:rsidR="00111198" w:rsidRPr="00750B1B">
        <w:rPr>
          <w:sz w:val="20"/>
          <w:szCs w:val="20"/>
        </w:rPr>
        <w:t>.</w:t>
      </w:r>
    </w:p>
  </w:footnote>
  <w:footnote w:id="22">
    <w:p w14:paraId="593373F1" w14:textId="6FF71835"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w:t>
      </w:r>
      <w:r w:rsidRPr="00750B1B">
        <w:rPr>
          <w:i/>
          <w:iCs/>
          <w:sz w:val="20"/>
          <w:szCs w:val="20"/>
        </w:rPr>
        <w:t>See</w:t>
      </w:r>
      <w:r w:rsidRPr="00750B1B">
        <w:rPr>
          <w:sz w:val="20"/>
          <w:szCs w:val="20"/>
        </w:rPr>
        <w:t xml:space="preserve"> </w:t>
      </w:r>
      <w:r w:rsidR="00111198" w:rsidRPr="00750B1B">
        <w:rPr>
          <w:sz w:val="20"/>
          <w:szCs w:val="20"/>
        </w:rPr>
        <w:t xml:space="preserve">Office of the N.Y.C. Mayor, </w:t>
      </w:r>
      <w:r w:rsidRPr="00750B1B">
        <w:rPr>
          <w:i/>
          <w:iCs/>
          <w:sz w:val="20"/>
          <w:szCs w:val="20"/>
        </w:rPr>
        <w:t>Mayor Adams Announces Citywide Action Plan to Build Inclusive Career Pathways for Young People</w:t>
      </w:r>
      <w:r w:rsidRPr="00750B1B">
        <w:rPr>
          <w:sz w:val="20"/>
          <w:szCs w:val="20"/>
        </w:rPr>
        <w:t>, (Dec. 11, 2023)</w:t>
      </w:r>
      <w:r w:rsidR="00111198" w:rsidRPr="00750B1B">
        <w:rPr>
          <w:sz w:val="20"/>
          <w:szCs w:val="20"/>
        </w:rPr>
        <w:t xml:space="preserve">, </w:t>
      </w:r>
      <w:r w:rsidRPr="00750B1B">
        <w:rPr>
          <w:i/>
          <w:iCs/>
          <w:sz w:val="20"/>
          <w:szCs w:val="20"/>
        </w:rPr>
        <w:t>available a</w:t>
      </w:r>
      <w:r w:rsidRPr="00750B1B">
        <w:rPr>
          <w:sz w:val="20"/>
          <w:szCs w:val="20"/>
        </w:rPr>
        <w:t>t https://www.nyc.gov/office-of-the-mayor/news/944-23/mayor-adams-citywide-action-plan-build-inclusive-career-pathways-young-people</w:t>
      </w:r>
      <w:r w:rsidR="00111198" w:rsidRPr="00750B1B">
        <w:rPr>
          <w:sz w:val="20"/>
          <w:szCs w:val="20"/>
        </w:rPr>
        <w:t>.</w:t>
      </w:r>
    </w:p>
  </w:footnote>
  <w:footnote w:id="23">
    <w:p w14:paraId="25F3B780" w14:textId="6FAE64B3" w:rsidR="00C1227D" w:rsidRPr="00750B1B" w:rsidRDefault="00BF5A2A">
      <w:pPr>
        <w:rPr>
          <w:sz w:val="20"/>
          <w:szCs w:val="20"/>
        </w:rPr>
      </w:pPr>
      <w:r w:rsidRPr="00750B1B">
        <w:rPr>
          <w:rStyle w:val="FootnoteReference"/>
          <w:sz w:val="20"/>
          <w:szCs w:val="20"/>
        </w:rPr>
        <w:footnoteRef/>
      </w:r>
      <w:r w:rsidRPr="00750B1B">
        <w:rPr>
          <w:i/>
          <w:iCs/>
          <w:sz w:val="20"/>
          <w:szCs w:val="20"/>
        </w:rPr>
        <w:t>See</w:t>
      </w:r>
      <w:r w:rsidRPr="00750B1B">
        <w:rPr>
          <w:sz w:val="20"/>
          <w:szCs w:val="20"/>
        </w:rPr>
        <w:t xml:space="preserve"> Empire Wind, </w:t>
      </w:r>
      <w:r w:rsidRPr="00750B1B">
        <w:rPr>
          <w:i/>
          <w:iCs/>
          <w:sz w:val="20"/>
          <w:szCs w:val="20"/>
        </w:rPr>
        <w:t>Empire Receives Stop Work Order from U.S. Department of the Interior’s Bureau of Ocean Energy Management</w:t>
      </w:r>
      <w:r w:rsidRPr="00750B1B">
        <w:rPr>
          <w:sz w:val="20"/>
          <w:szCs w:val="20"/>
        </w:rPr>
        <w:t xml:space="preserve"> (Dec. 22, 2025)</w:t>
      </w:r>
      <w:r w:rsidR="00111198" w:rsidRPr="00750B1B">
        <w:rPr>
          <w:sz w:val="20"/>
          <w:szCs w:val="20"/>
        </w:rPr>
        <w:t xml:space="preserve">, </w:t>
      </w:r>
      <w:r w:rsidRPr="00750B1B">
        <w:rPr>
          <w:i/>
          <w:iCs/>
          <w:sz w:val="20"/>
          <w:szCs w:val="20"/>
        </w:rPr>
        <w:t>available at</w:t>
      </w:r>
      <w:r w:rsidRPr="00750B1B">
        <w:rPr>
          <w:sz w:val="20"/>
          <w:szCs w:val="20"/>
        </w:rPr>
        <w:t xml:space="preserve"> https://www.empirewind.com/2025/12/22/stop-work-order/. </w:t>
      </w:r>
    </w:p>
  </w:footnote>
  <w:footnote w:id="24">
    <w:p w14:paraId="11D376E7" w14:textId="105A22F6" w:rsidR="00C1227D" w:rsidRPr="00750B1B" w:rsidRDefault="00BF5A2A">
      <w:pPr>
        <w:rPr>
          <w:sz w:val="20"/>
          <w:szCs w:val="20"/>
        </w:rPr>
      </w:pPr>
      <w:r w:rsidRPr="00750B1B">
        <w:rPr>
          <w:rStyle w:val="FootnoteReference"/>
          <w:sz w:val="20"/>
          <w:szCs w:val="20"/>
        </w:rPr>
        <w:footnoteRef/>
      </w:r>
      <w:r w:rsidR="00111198" w:rsidRPr="00750B1B">
        <w:rPr>
          <w:sz w:val="20"/>
          <w:szCs w:val="20"/>
        </w:rPr>
        <w:t xml:space="preserve"> </w:t>
      </w:r>
      <w:r w:rsidR="00111198" w:rsidRPr="00750B1B">
        <w:rPr>
          <w:i/>
          <w:iCs/>
          <w:sz w:val="20"/>
          <w:szCs w:val="20"/>
        </w:rPr>
        <w:t xml:space="preserve">See </w:t>
      </w:r>
      <w:r w:rsidRPr="00750B1B">
        <w:rPr>
          <w:sz w:val="20"/>
          <w:szCs w:val="20"/>
        </w:rPr>
        <w:t xml:space="preserve">Equinor, </w:t>
      </w:r>
      <w:r w:rsidRPr="00750B1B">
        <w:rPr>
          <w:i/>
          <w:iCs/>
          <w:sz w:val="20"/>
          <w:szCs w:val="20"/>
        </w:rPr>
        <w:t>Empire Wind Granted Preliminary Injunction Allowing Construction to Resume</w:t>
      </w:r>
      <w:r w:rsidRPr="00750B1B">
        <w:rPr>
          <w:sz w:val="20"/>
          <w:szCs w:val="20"/>
        </w:rPr>
        <w:t xml:space="preserve"> (Jan. 15, 2026),</w:t>
      </w:r>
      <w:r w:rsidR="00111198" w:rsidRPr="00750B1B">
        <w:rPr>
          <w:sz w:val="20"/>
          <w:szCs w:val="20"/>
        </w:rPr>
        <w:t xml:space="preserve"> </w:t>
      </w:r>
      <w:r w:rsidRPr="00750B1B">
        <w:rPr>
          <w:i/>
          <w:iCs/>
          <w:sz w:val="20"/>
          <w:szCs w:val="20"/>
        </w:rPr>
        <w:t>available at</w:t>
      </w:r>
      <w:r w:rsidRPr="00750B1B">
        <w:rPr>
          <w:sz w:val="20"/>
          <w:szCs w:val="20"/>
        </w:rPr>
        <w:t xml:space="preserve"> https://www.equinor.com/news/20260115-empire-wind-granted-preliminary-injunction. </w:t>
      </w:r>
    </w:p>
  </w:footnote>
  <w:footnote w:id="25">
    <w:p w14:paraId="788547BE" w14:textId="025323CA" w:rsidR="00C1227D" w:rsidRPr="00750B1B" w:rsidRDefault="00BF5A2A">
      <w:pPr>
        <w:rPr>
          <w:sz w:val="20"/>
          <w:szCs w:val="20"/>
        </w:rPr>
      </w:pPr>
      <w:r w:rsidRPr="00750B1B">
        <w:rPr>
          <w:rStyle w:val="FootnoteReference"/>
          <w:sz w:val="20"/>
          <w:szCs w:val="20"/>
        </w:rPr>
        <w:footnoteRef/>
      </w:r>
      <w:r w:rsidRPr="00750B1B">
        <w:rPr>
          <w:sz w:val="20"/>
          <w:szCs w:val="20"/>
        </w:rPr>
        <w:t xml:space="preserve"> </w:t>
      </w:r>
      <w:r w:rsidRPr="00750B1B">
        <w:rPr>
          <w:i/>
          <w:iCs/>
          <w:sz w:val="20"/>
          <w:szCs w:val="20"/>
        </w:rPr>
        <w:t>See</w:t>
      </w:r>
      <w:r w:rsidRPr="00750B1B">
        <w:rPr>
          <w:sz w:val="20"/>
          <w:szCs w:val="20"/>
        </w:rPr>
        <w:t xml:space="preserve"> </w:t>
      </w:r>
      <w:r w:rsidR="00111198" w:rsidRPr="00750B1B">
        <w:rPr>
          <w:sz w:val="20"/>
          <w:szCs w:val="20"/>
        </w:rPr>
        <w:t>Benjamin Storrow</w:t>
      </w:r>
      <w:r w:rsidRPr="00750B1B">
        <w:rPr>
          <w:i/>
          <w:iCs/>
          <w:sz w:val="20"/>
          <w:szCs w:val="20"/>
        </w:rPr>
        <w:t>, DOJ Declines to Appeal Injunction Favoring Revolution Wind</w:t>
      </w:r>
      <w:r w:rsidRPr="00750B1B">
        <w:rPr>
          <w:sz w:val="20"/>
          <w:szCs w:val="20"/>
        </w:rPr>
        <w:t>, E&amp;E NEWS (Mar. 16, 2026)</w:t>
      </w:r>
      <w:r w:rsidR="00111198" w:rsidRPr="00750B1B">
        <w:rPr>
          <w:sz w:val="20"/>
          <w:szCs w:val="20"/>
        </w:rPr>
        <w:t xml:space="preserve">, </w:t>
      </w:r>
      <w:r w:rsidR="00111198" w:rsidRPr="00750B1B">
        <w:rPr>
          <w:i/>
          <w:iCs/>
          <w:sz w:val="20"/>
          <w:szCs w:val="20"/>
        </w:rPr>
        <w:t>available at</w:t>
      </w:r>
      <w:r w:rsidR="00111198" w:rsidRPr="00750B1B">
        <w:rPr>
          <w:sz w:val="20"/>
          <w:szCs w:val="20"/>
        </w:rPr>
        <w:t xml:space="preserve"> https://www.eenews.net/articles/doj-declines-to-appeal-injunction-favoring-revolution-wind/</w:t>
      </w:r>
      <w:r w:rsidRPr="00750B1B">
        <w:rPr>
          <w:sz w:val="20"/>
          <w:szCs w:val="20"/>
        </w:rPr>
        <w:t>.</w:t>
      </w:r>
    </w:p>
  </w:footnote>
  <w:footnote w:id="26">
    <w:p w14:paraId="6FE77BAD" w14:textId="3C205644" w:rsidR="00C1227D" w:rsidRPr="00750B1B" w:rsidRDefault="00BF5A2A">
      <w:pPr>
        <w:rPr>
          <w:sz w:val="20"/>
          <w:szCs w:val="20"/>
        </w:rPr>
      </w:pPr>
      <w:r w:rsidRPr="00750B1B">
        <w:rPr>
          <w:rStyle w:val="FootnoteReference"/>
          <w:sz w:val="20"/>
          <w:szCs w:val="20"/>
        </w:rPr>
        <w:footnoteRef/>
      </w:r>
      <w:r w:rsidR="00111198" w:rsidRPr="00750B1B">
        <w:rPr>
          <w:i/>
          <w:iCs/>
          <w:sz w:val="20"/>
          <w:szCs w:val="20"/>
        </w:rPr>
        <w:t xml:space="preserve"> See </w:t>
      </w:r>
      <w:r w:rsidRPr="00750B1B">
        <w:rPr>
          <w:sz w:val="20"/>
          <w:szCs w:val="20"/>
        </w:rPr>
        <w:t>One Big Beautiful Bill Act, Pub. L. No. 119-21 (2025) (curtailing clean-energy tax credits established under the Inflation Reduction Act of 2022).</w:t>
      </w:r>
    </w:p>
  </w:footnote>
  <w:footnote w:id="27">
    <w:p w14:paraId="2C1E3D55" w14:textId="490EC6AE" w:rsidR="00C1227D" w:rsidRPr="00750B1B" w:rsidRDefault="00BF5A2A">
      <w:pPr>
        <w:rPr>
          <w:sz w:val="20"/>
          <w:szCs w:val="20"/>
        </w:rPr>
      </w:pPr>
      <w:r w:rsidRPr="00750B1B">
        <w:rPr>
          <w:rStyle w:val="FootnoteReference"/>
          <w:sz w:val="20"/>
          <w:szCs w:val="20"/>
        </w:rPr>
        <w:footnoteRef/>
      </w:r>
      <w:r w:rsidR="00111198" w:rsidRPr="00750B1B">
        <w:rPr>
          <w:sz w:val="20"/>
          <w:szCs w:val="20"/>
        </w:rPr>
        <w:t xml:space="preserve"> </w:t>
      </w:r>
      <w:r w:rsidR="00111198" w:rsidRPr="00750B1B">
        <w:rPr>
          <w:i/>
          <w:iCs/>
          <w:sz w:val="20"/>
          <w:szCs w:val="20"/>
        </w:rPr>
        <w:t xml:space="preserve">See </w:t>
      </w:r>
      <w:r w:rsidR="00111198" w:rsidRPr="00750B1B">
        <w:rPr>
          <w:sz w:val="20"/>
          <w:szCs w:val="20"/>
        </w:rPr>
        <w:t xml:space="preserve">Megan Evans &amp; Caroline Treschitta, </w:t>
      </w:r>
      <w:r w:rsidR="00111198" w:rsidRPr="00750B1B">
        <w:rPr>
          <w:i/>
          <w:iCs/>
          <w:sz w:val="20"/>
          <w:szCs w:val="20"/>
        </w:rPr>
        <w:t>Make America Skilled Again? Not with these Cuts</w:t>
      </w:r>
      <w:r w:rsidR="00111198" w:rsidRPr="00750B1B">
        <w:rPr>
          <w:sz w:val="20"/>
          <w:szCs w:val="20"/>
        </w:rPr>
        <w:t xml:space="preserve">, Nat'l Skills Coal. (Apr. 15, 2026), </w:t>
      </w:r>
      <w:hyperlink r:id="rId1" w:history="1">
        <w:r w:rsidR="00111198" w:rsidRPr="00750B1B">
          <w:rPr>
            <w:rStyle w:val="Hyperlink"/>
            <w:sz w:val="20"/>
            <w:szCs w:val="20"/>
          </w:rPr>
          <w:t>https://nationalskillscoalition.org/blog/news/make-america-skilled-again-not-with-these-cuts/</w:t>
        </w:r>
      </w:hyperlink>
      <w:r w:rsidR="00111198" w:rsidRPr="00750B1B">
        <w:rPr>
          <w:sz w:val="20"/>
          <w:szCs w:val="20"/>
        </w:rPr>
        <w:t>.</w:t>
      </w:r>
    </w:p>
  </w:footnote>
  <w:footnote w:id="28">
    <w:p w14:paraId="44998B5F" w14:textId="78F51B8B" w:rsidR="00C1227D" w:rsidRPr="00750B1B" w:rsidRDefault="00BF5A2A">
      <w:pPr>
        <w:rPr>
          <w:sz w:val="20"/>
          <w:szCs w:val="20"/>
        </w:rPr>
      </w:pPr>
      <w:r w:rsidRPr="00750B1B">
        <w:rPr>
          <w:rStyle w:val="FootnoteReference"/>
          <w:sz w:val="20"/>
          <w:szCs w:val="20"/>
        </w:rPr>
        <w:footnoteRef/>
      </w:r>
      <w:r w:rsidR="00111198" w:rsidRPr="00750B1B">
        <w:rPr>
          <w:sz w:val="20"/>
          <w:szCs w:val="20"/>
        </w:rPr>
        <w:t xml:space="preserve"> </w:t>
      </w:r>
      <w:r w:rsidR="00111198" w:rsidRPr="00750B1B">
        <w:rPr>
          <w:i/>
          <w:iCs/>
          <w:sz w:val="20"/>
          <w:szCs w:val="20"/>
        </w:rPr>
        <w:t xml:space="preserve">See </w:t>
      </w:r>
      <w:r w:rsidRPr="00750B1B">
        <w:rPr>
          <w:sz w:val="20"/>
          <w:szCs w:val="20"/>
        </w:rPr>
        <w:t xml:space="preserve">Center for an Urban Future, </w:t>
      </w:r>
      <w:r w:rsidRPr="00750B1B">
        <w:rPr>
          <w:i/>
          <w:iCs/>
          <w:sz w:val="20"/>
          <w:szCs w:val="20"/>
        </w:rPr>
        <w:t>New York City’s Green Economy Opportunity</w:t>
      </w:r>
      <w:r w:rsidRPr="00750B1B">
        <w:rPr>
          <w:sz w:val="20"/>
          <w:szCs w:val="20"/>
        </w:rPr>
        <w:t xml:space="preserve"> (Mar. 2025), </w:t>
      </w:r>
      <w:r w:rsidRPr="00750B1B">
        <w:rPr>
          <w:i/>
          <w:iCs/>
          <w:sz w:val="20"/>
          <w:szCs w:val="20"/>
        </w:rPr>
        <w:t>available at</w:t>
      </w:r>
      <w:r w:rsidRPr="00750B1B">
        <w:rPr>
          <w:sz w:val="20"/>
          <w:szCs w:val="20"/>
        </w:rPr>
        <w:t xml:space="preserve"> </w:t>
      </w:r>
      <w:r w:rsidR="00122285" w:rsidRPr="00750B1B">
        <w:rPr>
          <w:sz w:val="20"/>
          <w:szCs w:val="20"/>
        </w:rPr>
        <w:t>https://nycfuture.org/research/new-york-citys-green-economy-opportunity</w:t>
      </w:r>
    </w:p>
  </w:footnote>
  <w:footnote w:id="29">
    <w:p w14:paraId="518482B1" w14:textId="2E112483" w:rsidR="00C1227D" w:rsidRPr="00750B1B" w:rsidRDefault="00BF5A2A">
      <w:pPr>
        <w:rPr>
          <w:sz w:val="20"/>
          <w:szCs w:val="20"/>
        </w:rPr>
      </w:pPr>
      <w:r w:rsidRPr="00750B1B">
        <w:rPr>
          <w:rStyle w:val="FootnoteReference"/>
          <w:sz w:val="20"/>
          <w:szCs w:val="20"/>
        </w:rPr>
        <w:footnoteRef/>
      </w:r>
      <w:r w:rsidR="00122285" w:rsidRPr="00750B1B">
        <w:rPr>
          <w:sz w:val="20"/>
          <w:szCs w:val="20"/>
        </w:rPr>
        <w:t xml:space="preserve"> </w:t>
      </w:r>
      <w:r w:rsidR="00122285" w:rsidRPr="00750B1B">
        <w:rPr>
          <w:i/>
          <w:iCs/>
          <w:sz w:val="20"/>
          <w:szCs w:val="20"/>
        </w:rPr>
        <w:t>See id.</w:t>
      </w:r>
      <w:r w:rsidR="00122285" w:rsidRPr="00750B1B">
        <w:rPr>
          <w:sz w:val="20"/>
          <w:szCs w:val="20"/>
        </w:rPr>
        <w:t xml:space="preserve"> at 9. </w:t>
      </w:r>
      <w:r w:rsidR="00122285" w:rsidRPr="00750B1B">
        <w:rPr>
          <w:i/>
          <w:iCs/>
          <w:sz w:val="20"/>
          <w:szCs w:val="20"/>
        </w:rPr>
        <w:t xml:space="preserve">See also </w:t>
      </w:r>
      <w:r w:rsidRPr="00750B1B">
        <w:rPr>
          <w:sz w:val="20"/>
          <w:szCs w:val="20"/>
        </w:rPr>
        <w:t xml:space="preserve">Local Law 97 of 2019 </w:t>
      </w:r>
      <w:r w:rsidR="00122285" w:rsidRPr="00750B1B">
        <w:rPr>
          <w:sz w:val="20"/>
          <w:szCs w:val="20"/>
        </w:rPr>
        <w:t>(</w:t>
      </w:r>
      <w:r w:rsidRPr="00750B1B">
        <w:rPr>
          <w:sz w:val="20"/>
          <w:szCs w:val="20"/>
        </w:rPr>
        <w:t>N.Y.C. Admin. Code §</w:t>
      </w:r>
      <w:r w:rsidR="00C0703C" w:rsidRPr="00750B1B">
        <w:rPr>
          <w:sz w:val="20"/>
          <w:szCs w:val="20"/>
        </w:rPr>
        <w:t xml:space="preserve">§ </w:t>
      </w:r>
      <w:r w:rsidRPr="00750B1B">
        <w:rPr>
          <w:sz w:val="20"/>
          <w:szCs w:val="20"/>
        </w:rPr>
        <w:t xml:space="preserve"> 28-320</w:t>
      </w:r>
      <w:r w:rsidR="00C0703C">
        <w:rPr>
          <w:sz w:val="20"/>
          <w:szCs w:val="20"/>
        </w:rPr>
        <w:t xml:space="preserve"> - 28-321</w:t>
      </w:r>
      <w:r w:rsidR="00122285" w:rsidRPr="00750B1B">
        <w:rPr>
          <w:sz w:val="20"/>
          <w:szCs w:val="20"/>
        </w:rPr>
        <w:t>).</w:t>
      </w:r>
    </w:p>
  </w:footnote>
  <w:footnote w:id="30">
    <w:p w14:paraId="6396AF91" w14:textId="0C07BAAC" w:rsidR="00C1227D" w:rsidRPr="00750B1B" w:rsidRDefault="00BF5A2A">
      <w:pPr>
        <w:rPr>
          <w:sz w:val="20"/>
          <w:szCs w:val="20"/>
        </w:rPr>
      </w:pPr>
      <w:r w:rsidRPr="00750B1B">
        <w:rPr>
          <w:rStyle w:val="FootnoteReference"/>
          <w:sz w:val="20"/>
          <w:szCs w:val="20"/>
        </w:rPr>
        <w:footnoteRef/>
      </w:r>
      <w:r w:rsidR="00122285" w:rsidRPr="00750B1B">
        <w:rPr>
          <w:i/>
          <w:iCs/>
          <w:sz w:val="20"/>
          <w:szCs w:val="20"/>
        </w:rPr>
        <w:t xml:space="preserve">See </w:t>
      </w:r>
      <w:r w:rsidRPr="00750B1B">
        <w:rPr>
          <w:sz w:val="20"/>
          <w:szCs w:val="20"/>
        </w:rPr>
        <w:t xml:space="preserve">Annie McDonough &amp; Sahalie Donaldson, </w:t>
      </w:r>
      <w:r w:rsidRPr="00750B1B">
        <w:rPr>
          <w:i/>
          <w:iCs/>
          <w:sz w:val="20"/>
          <w:szCs w:val="20"/>
        </w:rPr>
        <w:t>Mamdani’s EDC, Still Leaderless, Still Stressing Out the NYC Business Community</w:t>
      </w:r>
      <w:r w:rsidRPr="00750B1B">
        <w:rPr>
          <w:sz w:val="20"/>
          <w:szCs w:val="20"/>
        </w:rPr>
        <w:t xml:space="preserve">, CITY &amp; STATE N.Y. (May 29, 2026), </w:t>
      </w:r>
      <w:r w:rsidRPr="00750B1B">
        <w:rPr>
          <w:i/>
          <w:iCs/>
          <w:sz w:val="20"/>
          <w:szCs w:val="20"/>
        </w:rPr>
        <w:t>available at</w:t>
      </w:r>
      <w:r w:rsidRPr="00750B1B">
        <w:rPr>
          <w:sz w:val="20"/>
          <w:szCs w:val="20"/>
        </w:rPr>
        <w:t xml:space="preserve"> </w:t>
      </w:r>
      <w:r w:rsidR="00122285" w:rsidRPr="00750B1B">
        <w:rPr>
          <w:sz w:val="20"/>
          <w:szCs w:val="20"/>
        </w:rPr>
        <w:t>https://www.cityandstateny.com/politics/2026/05/mamdanis-edc-still-leaderless-still-stressing-out-nyc-business-community/413868/</w:t>
      </w:r>
    </w:p>
  </w:footnote>
  <w:footnote w:id="31">
    <w:p w14:paraId="21A02FC3" w14:textId="0345F059" w:rsidR="003516EB" w:rsidRPr="00750B1B" w:rsidRDefault="003516EB">
      <w:pPr>
        <w:pStyle w:val="FootnoteText"/>
      </w:pPr>
      <w:r w:rsidRPr="00750B1B">
        <w:rPr>
          <w:rStyle w:val="FootnoteReference"/>
        </w:rPr>
        <w:footnoteRef/>
      </w:r>
      <w:r w:rsidRPr="00750B1B">
        <w:t xml:space="preserve"> </w:t>
      </w:r>
      <w:r w:rsidRPr="00750B1B">
        <w:rPr>
          <w:i/>
          <w:iCs/>
        </w:rPr>
        <w:t>See</w:t>
      </w:r>
      <w:r w:rsidRPr="00750B1B">
        <w:t xml:space="preserve"> </w:t>
      </w:r>
      <w:r w:rsidR="00122285" w:rsidRPr="00750B1B">
        <w:t xml:space="preserve">Office of the N.Y.C. Mayor, </w:t>
      </w:r>
      <w:r w:rsidRPr="00750B1B">
        <w:rPr>
          <w:i/>
          <w:iCs/>
        </w:rPr>
        <w:t>Mamdani Administration Launches $4.5 Million Pilot with The Doe Fund to Train New Yorkers for Green Jobs</w:t>
      </w:r>
      <w:r w:rsidRPr="00750B1B">
        <w:t xml:space="preserve">, (Apr. 22, 2026), </w:t>
      </w:r>
      <w:r w:rsidR="00122285" w:rsidRPr="00750B1B">
        <w:t xml:space="preserve">Press Release, </w:t>
      </w:r>
      <w:r w:rsidRPr="00750B1B">
        <w:rPr>
          <w:i/>
          <w:iCs/>
        </w:rPr>
        <w:t>available at</w:t>
      </w:r>
      <w:r w:rsidRPr="00750B1B">
        <w:t xml:space="preserve"> https://www.nyc.gov/mayors-office/news/2026/04/mamdani-administration-launches--4-5-million-pilot-with-the-doe-.</w:t>
      </w:r>
    </w:p>
  </w:footnote>
  <w:footnote w:id="32">
    <w:p w14:paraId="1F23C2B8" w14:textId="45F9FD8E" w:rsidR="00C1227D" w:rsidRPr="00750B1B" w:rsidRDefault="00BF5A2A">
      <w:pPr>
        <w:rPr>
          <w:i/>
          <w:iCs/>
          <w:sz w:val="20"/>
          <w:szCs w:val="20"/>
        </w:rPr>
      </w:pPr>
      <w:r w:rsidRPr="00750B1B">
        <w:rPr>
          <w:rStyle w:val="FootnoteReference"/>
          <w:sz w:val="20"/>
          <w:szCs w:val="20"/>
        </w:rPr>
        <w:footnoteRef/>
      </w:r>
      <w:r w:rsidRPr="00750B1B">
        <w:rPr>
          <w:i/>
          <w:iCs/>
          <w:sz w:val="20"/>
          <w:szCs w:val="20"/>
        </w:rPr>
        <w:t>See</w:t>
      </w:r>
      <w:r w:rsidRPr="00750B1B">
        <w:rPr>
          <w:sz w:val="20"/>
          <w:szCs w:val="20"/>
        </w:rPr>
        <w:t xml:space="preserve"> </w:t>
      </w:r>
      <w:r w:rsidR="003516EB" w:rsidRPr="00750B1B">
        <w:rPr>
          <w:i/>
          <w:iCs/>
          <w:sz w:val="20"/>
          <w:szCs w:val="20"/>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0E1"/>
    <w:multiLevelType w:val="hybridMultilevel"/>
    <w:tmpl w:val="18F01560"/>
    <w:lvl w:ilvl="0" w:tplc="67E8A4EE">
      <w:start w:val="1"/>
      <w:numFmt w:val="bullet"/>
      <w:lvlText w:val="●"/>
      <w:lvlJc w:val="left"/>
      <w:pPr>
        <w:ind w:left="720" w:hanging="360"/>
      </w:pPr>
    </w:lvl>
    <w:lvl w:ilvl="1" w:tplc="E2660442">
      <w:start w:val="1"/>
      <w:numFmt w:val="bullet"/>
      <w:lvlText w:val="○"/>
      <w:lvlJc w:val="left"/>
      <w:pPr>
        <w:ind w:left="1440" w:hanging="360"/>
      </w:pPr>
    </w:lvl>
    <w:lvl w:ilvl="2" w:tplc="B9102EFE">
      <w:start w:val="1"/>
      <w:numFmt w:val="bullet"/>
      <w:lvlText w:val="■"/>
      <w:lvlJc w:val="left"/>
      <w:pPr>
        <w:ind w:left="2160" w:hanging="360"/>
      </w:pPr>
    </w:lvl>
    <w:lvl w:ilvl="3" w:tplc="3B4C66D0">
      <w:start w:val="1"/>
      <w:numFmt w:val="bullet"/>
      <w:lvlText w:val="●"/>
      <w:lvlJc w:val="left"/>
      <w:pPr>
        <w:ind w:left="2880" w:hanging="360"/>
      </w:pPr>
    </w:lvl>
    <w:lvl w:ilvl="4" w:tplc="928A5E98">
      <w:start w:val="1"/>
      <w:numFmt w:val="bullet"/>
      <w:lvlText w:val="○"/>
      <w:lvlJc w:val="left"/>
      <w:pPr>
        <w:ind w:left="3600" w:hanging="360"/>
      </w:pPr>
    </w:lvl>
    <w:lvl w:ilvl="5" w:tplc="79043186">
      <w:start w:val="1"/>
      <w:numFmt w:val="bullet"/>
      <w:lvlText w:val="■"/>
      <w:lvlJc w:val="left"/>
      <w:pPr>
        <w:ind w:left="4320" w:hanging="360"/>
      </w:pPr>
    </w:lvl>
    <w:lvl w:ilvl="6" w:tplc="322AD85C">
      <w:start w:val="1"/>
      <w:numFmt w:val="bullet"/>
      <w:lvlText w:val="●"/>
      <w:lvlJc w:val="left"/>
      <w:pPr>
        <w:ind w:left="5040" w:hanging="360"/>
      </w:pPr>
    </w:lvl>
    <w:lvl w:ilvl="7" w:tplc="DA6E3CA8">
      <w:start w:val="1"/>
      <w:numFmt w:val="bullet"/>
      <w:lvlText w:val="●"/>
      <w:lvlJc w:val="left"/>
      <w:pPr>
        <w:ind w:left="5760" w:hanging="360"/>
      </w:pPr>
    </w:lvl>
    <w:lvl w:ilvl="8" w:tplc="608C5AF6">
      <w:start w:val="1"/>
      <w:numFmt w:val="bullet"/>
      <w:lvlText w:val="●"/>
      <w:lvlJc w:val="left"/>
      <w:pPr>
        <w:ind w:left="6480" w:hanging="360"/>
      </w:pPr>
    </w:lvl>
  </w:abstractNum>
  <w:abstractNum w:abstractNumId="1" w15:restartNumberingAfterBreak="0">
    <w:nsid w:val="535955CF"/>
    <w:multiLevelType w:val="hybridMultilevel"/>
    <w:tmpl w:val="DF661092"/>
    <w:lvl w:ilvl="0" w:tplc="D34CCB1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492731">
    <w:abstractNumId w:val="0"/>
    <w:lvlOverride w:ilvl="0">
      <w:startOverride w:val="1"/>
    </w:lvlOverride>
  </w:num>
  <w:num w:numId="2" w16cid:durableId="62798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27D"/>
    <w:rsid w:val="000327E3"/>
    <w:rsid w:val="00042A0A"/>
    <w:rsid w:val="00052D0D"/>
    <w:rsid w:val="00072D01"/>
    <w:rsid w:val="00074D1A"/>
    <w:rsid w:val="00080948"/>
    <w:rsid w:val="000A6F86"/>
    <w:rsid w:val="000C2324"/>
    <w:rsid w:val="000C44EA"/>
    <w:rsid w:val="000D0A87"/>
    <w:rsid w:val="001109F7"/>
    <w:rsid w:val="00111198"/>
    <w:rsid w:val="00116E02"/>
    <w:rsid w:val="00122285"/>
    <w:rsid w:val="00147667"/>
    <w:rsid w:val="00157F5E"/>
    <w:rsid w:val="00195808"/>
    <w:rsid w:val="001E0BE5"/>
    <w:rsid w:val="001F28ED"/>
    <w:rsid w:val="001F5A8E"/>
    <w:rsid w:val="002D2259"/>
    <w:rsid w:val="002E2B71"/>
    <w:rsid w:val="002F1252"/>
    <w:rsid w:val="002F6DBF"/>
    <w:rsid w:val="003050AD"/>
    <w:rsid w:val="0030515F"/>
    <w:rsid w:val="003516EB"/>
    <w:rsid w:val="00393841"/>
    <w:rsid w:val="003E11DD"/>
    <w:rsid w:val="00453C6D"/>
    <w:rsid w:val="004C1DD6"/>
    <w:rsid w:val="004E50DA"/>
    <w:rsid w:val="00531700"/>
    <w:rsid w:val="005857A3"/>
    <w:rsid w:val="005B441B"/>
    <w:rsid w:val="006034C7"/>
    <w:rsid w:val="00646DF3"/>
    <w:rsid w:val="006507F1"/>
    <w:rsid w:val="00681261"/>
    <w:rsid w:val="00686006"/>
    <w:rsid w:val="00694294"/>
    <w:rsid w:val="006F3F80"/>
    <w:rsid w:val="0073027A"/>
    <w:rsid w:val="00742BD7"/>
    <w:rsid w:val="00750B1B"/>
    <w:rsid w:val="007624DE"/>
    <w:rsid w:val="007B418F"/>
    <w:rsid w:val="007E7B57"/>
    <w:rsid w:val="008A7B9C"/>
    <w:rsid w:val="008B1C75"/>
    <w:rsid w:val="00947548"/>
    <w:rsid w:val="00955E59"/>
    <w:rsid w:val="009565BB"/>
    <w:rsid w:val="00966228"/>
    <w:rsid w:val="009A142A"/>
    <w:rsid w:val="009B64D7"/>
    <w:rsid w:val="009F2CD4"/>
    <w:rsid w:val="00A03FFA"/>
    <w:rsid w:val="00A3193B"/>
    <w:rsid w:val="00A56A19"/>
    <w:rsid w:val="00A63B9D"/>
    <w:rsid w:val="00AB24AA"/>
    <w:rsid w:val="00B773AE"/>
    <w:rsid w:val="00B814C3"/>
    <w:rsid w:val="00BC46DE"/>
    <w:rsid w:val="00BE0B27"/>
    <w:rsid w:val="00BF143D"/>
    <w:rsid w:val="00BF5A2A"/>
    <w:rsid w:val="00C0703C"/>
    <w:rsid w:val="00C1227D"/>
    <w:rsid w:val="00C520E4"/>
    <w:rsid w:val="00C61C4F"/>
    <w:rsid w:val="00C629C4"/>
    <w:rsid w:val="00C804F6"/>
    <w:rsid w:val="00C92BF4"/>
    <w:rsid w:val="00C92E9B"/>
    <w:rsid w:val="00C941A0"/>
    <w:rsid w:val="00CA0BFB"/>
    <w:rsid w:val="00CC0706"/>
    <w:rsid w:val="00CC43E6"/>
    <w:rsid w:val="00D13A84"/>
    <w:rsid w:val="00D618E9"/>
    <w:rsid w:val="00D96774"/>
    <w:rsid w:val="00E243E5"/>
    <w:rsid w:val="00E60CEA"/>
    <w:rsid w:val="00E76982"/>
    <w:rsid w:val="00E80F36"/>
    <w:rsid w:val="00F32390"/>
    <w:rsid w:val="00F600CA"/>
    <w:rsid w:val="00F619AD"/>
    <w:rsid w:val="00F71CE5"/>
    <w:rsid w:val="00F92602"/>
    <w:rsid w:val="00FA08C0"/>
    <w:rsid w:val="00FB35BC"/>
    <w:rsid w:val="00FD3D36"/>
    <w:rsid w:val="40084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3DA0"/>
  <w15:docId w15:val="{8AD269BB-534B-4E43-9BCC-5733A3F8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3516EB"/>
    <w:rPr>
      <w:color w:val="605E5C"/>
      <w:shd w:val="clear" w:color="auto" w:fill="E1DFDD"/>
    </w:rPr>
  </w:style>
  <w:style w:type="character" w:styleId="FollowedHyperlink">
    <w:name w:val="FollowedHyperlink"/>
    <w:basedOn w:val="DefaultParagraphFont"/>
    <w:uiPriority w:val="99"/>
    <w:semiHidden/>
    <w:unhideWhenUsed/>
    <w:rsid w:val="00111198"/>
    <w:rPr>
      <w:color w:val="96607D" w:themeColor="followedHyperlink"/>
      <w:u w:val="single"/>
    </w:rPr>
  </w:style>
  <w:style w:type="paragraph" w:styleId="Header">
    <w:name w:val="header"/>
    <w:basedOn w:val="Normal"/>
    <w:link w:val="HeaderChar"/>
    <w:uiPriority w:val="99"/>
    <w:unhideWhenUsed/>
    <w:rsid w:val="00C520E4"/>
    <w:pPr>
      <w:tabs>
        <w:tab w:val="center" w:pos="4680"/>
        <w:tab w:val="right" w:pos="9360"/>
      </w:tabs>
    </w:pPr>
  </w:style>
  <w:style w:type="character" w:customStyle="1" w:styleId="HeaderChar">
    <w:name w:val="Header Char"/>
    <w:basedOn w:val="DefaultParagraphFont"/>
    <w:link w:val="Header"/>
    <w:uiPriority w:val="99"/>
    <w:rsid w:val="00C520E4"/>
  </w:style>
  <w:style w:type="paragraph" w:styleId="Footer">
    <w:name w:val="footer"/>
    <w:basedOn w:val="Normal"/>
    <w:link w:val="FooterChar"/>
    <w:uiPriority w:val="99"/>
    <w:unhideWhenUsed/>
    <w:rsid w:val="00C520E4"/>
    <w:pPr>
      <w:tabs>
        <w:tab w:val="center" w:pos="4680"/>
        <w:tab w:val="right" w:pos="9360"/>
      </w:tabs>
    </w:pPr>
  </w:style>
  <w:style w:type="character" w:customStyle="1" w:styleId="FooterChar">
    <w:name w:val="Footer Char"/>
    <w:basedOn w:val="DefaultParagraphFont"/>
    <w:link w:val="Footer"/>
    <w:uiPriority w:val="99"/>
    <w:rsid w:val="00C520E4"/>
  </w:style>
  <w:style w:type="paragraph" w:styleId="Revision">
    <w:name w:val="Revision"/>
    <w:hidden/>
    <w:uiPriority w:val="99"/>
    <w:semiHidden/>
    <w:rsid w:val="00955E59"/>
  </w:style>
  <w:style w:type="character" w:styleId="CommentReference">
    <w:name w:val="annotation reference"/>
    <w:basedOn w:val="DefaultParagraphFont"/>
    <w:uiPriority w:val="99"/>
    <w:semiHidden/>
    <w:unhideWhenUsed/>
    <w:rsid w:val="00F71CE5"/>
    <w:rPr>
      <w:sz w:val="16"/>
      <w:szCs w:val="16"/>
    </w:rPr>
  </w:style>
  <w:style w:type="paragraph" w:styleId="CommentText">
    <w:name w:val="annotation text"/>
    <w:basedOn w:val="Normal"/>
    <w:link w:val="CommentTextChar"/>
    <w:uiPriority w:val="99"/>
    <w:semiHidden/>
    <w:unhideWhenUsed/>
    <w:rsid w:val="00F71CE5"/>
    <w:rPr>
      <w:sz w:val="20"/>
      <w:szCs w:val="20"/>
    </w:rPr>
  </w:style>
  <w:style w:type="character" w:customStyle="1" w:styleId="CommentTextChar">
    <w:name w:val="Comment Text Char"/>
    <w:basedOn w:val="DefaultParagraphFont"/>
    <w:link w:val="CommentText"/>
    <w:uiPriority w:val="99"/>
    <w:semiHidden/>
    <w:rsid w:val="00F71CE5"/>
    <w:rPr>
      <w:sz w:val="20"/>
      <w:szCs w:val="20"/>
    </w:rPr>
  </w:style>
  <w:style w:type="paragraph" w:styleId="CommentSubject">
    <w:name w:val="annotation subject"/>
    <w:basedOn w:val="CommentText"/>
    <w:next w:val="CommentText"/>
    <w:link w:val="CommentSubjectChar"/>
    <w:uiPriority w:val="99"/>
    <w:semiHidden/>
    <w:unhideWhenUsed/>
    <w:rsid w:val="00F71CE5"/>
    <w:rPr>
      <w:b/>
      <w:bCs/>
    </w:rPr>
  </w:style>
  <w:style w:type="character" w:customStyle="1" w:styleId="CommentSubjectChar">
    <w:name w:val="Comment Subject Char"/>
    <w:basedOn w:val="CommentTextChar"/>
    <w:link w:val="CommentSubject"/>
    <w:uiPriority w:val="99"/>
    <w:semiHidden/>
    <w:rsid w:val="00F71CE5"/>
    <w:rPr>
      <w:b/>
      <w:bCs/>
      <w:sz w:val="20"/>
      <w:szCs w:val="20"/>
    </w:rPr>
  </w:style>
  <w:style w:type="paragraph" w:styleId="BalloonText">
    <w:name w:val="Balloon Text"/>
    <w:basedOn w:val="Normal"/>
    <w:link w:val="BalloonTextChar"/>
    <w:uiPriority w:val="99"/>
    <w:semiHidden/>
    <w:unhideWhenUsed/>
    <w:rsid w:val="00F71C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CE5"/>
    <w:rPr>
      <w:rFonts w:ascii="Segoe UI" w:hAnsi="Segoe UI" w:cs="Segoe UI"/>
      <w:sz w:val="18"/>
      <w:szCs w:val="18"/>
    </w:rPr>
  </w:style>
  <w:style w:type="character" w:styleId="PageNumber">
    <w:name w:val="page number"/>
    <w:basedOn w:val="DefaultParagraphFont"/>
    <w:uiPriority w:val="99"/>
    <w:semiHidden/>
    <w:unhideWhenUsed/>
    <w:rsid w:val="00BE0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nationalskillscoalition.org/blog/news/make-america-skilled-again-not-with-these-cu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54211-7806-4C45-89ED-C49F85EF5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1350</Words>
  <Characters>7698</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Jeffries, Jillian</cp:lastModifiedBy>
  <cp:revision>2</cp:revision>
  <dcterms:created xsi:type="dcterms:W3CDTF">2026-07-15T16:28:00Z</dcterms:created>
  <dcterms:modified xsi:type="dcterms:W3CDTF">2026-07-15T16:28:00Z</dcterms:modified>
</cp:coreProperties>
</file>