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504A3A62"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A42AE4">
        <w:rPr>
          <w:rFonts w:ascii="Times New Roman" w:eastAsia="Times New Roman" w:hAnsi="Times New Roman" w:cs="Times New Roman"/>
          <w:sz w:val="24"/>
          <w:szCs w:val="24"/>
        </w:rPr>
        <w:t xml:space="preserve"> </w:t>
      </w:r>
      <w:r w:rsidR="00AD6F26">
        <w:rPr>
          <w:rFonts w:ascii="Times New Roman" w:eastAsia="Times New Roman" w:hAnsi="Times New Roman" w:cs="Times New Roman"/>
          <w:sz w:val="24"/>
          <w:szCs w:val="24"/>
        </w:rPr>
        <w:t>517</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1D92ABAB"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 xml:space="preserve">Resolution approving an exemption from real property taxes for property located at </w:t>
      </w:r>
      <w:r w:rsidR="00573F62" w:rsidRPr="0037354F">
        <w:rPr>
          <w:rFonts w:ascii="Times New Roman" w:eastAsia="Times New Roman" w:hAnsi="Times New Roman" w:cs="Times New Roman"/>
          <w:bCs/>
          <w:sz w:val="24"/>
          <w:szCs w:val="24"/>
        </w:rPr>
        <w:t>Block</w:t>
      </w:r>
      <w:r w:rsidR="003A234F">
        <w:rPr>
          <w:rFonts w:ascii="Times New Roman" w:eastAsia="Times New Roman" w:hAnsi="Times New Roman" w:cs="Times New Roman"/>
          <w:bCs/>
          <w:sz w:val="24"/>
          <w:szCs w:val="24"/>
        </w:rPr>
        <w:t xml:space="preserve"> </w:t>
      </w:r>
      <w:r w:rsidR="00D56BCF">
        <w:rPr>
          <w:rFonts w:ascii="Times New Roman" w:eastAsia="Times New Roman" w:hAnsi="Times New Roman" w:cs="Times New Roman"/>
          <w:bCs/>
          <w:sz w:val="24"/>
          <w:szCs w:val="24"/>
        </w:rPr>
        <w:t>2051</w:t>
      </w:r>
      <w:r w:rsidR="008659EA">
        <w:rPr>
          <w:rFonts w:ascii="Times New Roman" w:eastAsia="Times New Roman" w:hAnsi="Times New Roman" w:cs="Times New Roman"/>
          <w:bCs/>
          <w:sz w:val="24"/>
          <w:szCs w:val="24"/>
        </w:rPr>
        <w:t>,</w:t>
      </w:r>
      <w:r w:rsidR="003A234F">
        <w:rPr>
          <w:rFonts w:ascii="Times New Roman" w:eastAsia="Times New Roman" w:hAnsi="Times New Roman" w:cs="Times New Roman"/>
          <w:bCs/>
          <w:sz w:val="24"/>
          <w:szCs w:val="24"/>
        </w:rPr>
        <w:t xml:space="preserve"> Lot</w:t>
      </w:r>
      <w:r w:rsidR="008659EA">
        <w:rPr>
          <w:rFonts w:ascii="Times New Roman" w:eastAsia="Times New Roman" w:hAnsi="Times New Roman" w:cs="Times New Roman"/>
          <w:bCs/>
          <w:sz w:val="24"/>
          <w:szCs w:val="24"/>
        </w:rPr>
        <w:t xml:space="preserve"> </w:t>
      </w:r>
      <w:r w:rsidR="00D56BCF">
        <w:rPr>
          <w:rFonts w:ascii="Times New Roman" w:eastAsia="Times New Roman" w:hAnsi="Times New Roman" w:cs="Times New Roman"/>
          <w:bCs/>
          <w:sz w:val="24"/>
          <w:szCs w:val="24"/>
        </w:rPr>
        <w:t>6</w:t>
      </w:r>
      <w:r w:rsidR="00DC6C41"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Manhattan</w:t>
      </w:r>
      <w:r w:rsidRPr="0037354F">
        <w:rPr>
          <w:rFonts w:ascii="Times New Roman" w:eastAsia="Times New Roman" w:hAnsi="Times New Roman" w:cs="Times New Roman"/>
          <w:sz w:val="24"/>
          <w:szCs w:val="24"/>
        </w:rPr>
        <w:t>,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AD6F26">
        <w:rPr>
          <w:rFonts w:ascii="Times New Roman" w:eastAsia="Times New Roman" w:hAnsi="Times New Roman" w:cs="Times New Roman"/>
          <w:sz w:val="24"/>
          <w:szCs w:val="24"/>
        </w:rPr>
        <w:t>84</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4E9D03C0"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11</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573F62" w:rsidRPr="0037354F">
        <w:rPr>
          <w:rFonts w:ascii="Times New Roman" w:eastAsia="Times New Roman" w:hAnsi="Times New Roman" w:cs="Times New Roman"/>
          <w:bCs/>
          <w:sz w:val="24"/>
          <w:szCs w:val="24"/>
        </w:rPr>
        <w:t xml:space="preserve">Block </w:t>
      </w:r>
      <w:r w:rsidR="00D56BCF">
        <w:rPr>
          <w:rFonts w:ascii="Times New Roman" w:eastAsia="Times New Roman" w:hAnsi="Times New Roman" w:cs="Times New Roman"/>
          <w:bCs/>
          <w:sz w:val="24"/>
          <w:szCs w:val="24"/>
        </w:rPr>
        <w:t>2</w:t>
      </w:r>
      <w:r w:rsidR="002B155E">
        <w:rPr>
          <w:rFonts w:ascii="Times New Roman" w:eastAsia="Times New Roman" w:hAnsi="Times New Roman" w:cs="Times New Roman"/>
          <w:bCs/>
          <w:sz w:val="24"/>
          <w:szCs w:val="24"/>
        </w:rPr>
        <w:t>0</w:t>
      </w:r>
      <w:r w:rsidR="00D56BCF">
        <w:rPr>
          <w:rFonts w:ascii="Times New Roman" w:eastAsia="Times New Roman" w:hAnsi="Times New Roman" w:cs="Times New Roman"/>
          <w:bCs/>
          <w:sz w:val="24"/>
          <w:szCs w:val="24"/>
        </w:rPr>
        <w:t>51</w:t>
      </w:r>
      <w:r w:rsidR="003A234F">
        <w:rPr>
          <w:rFonts w:ascii="Times New Roman" w:eastAsia="Times New Roman" w:hAnsi="Times New Roman" w:cs="Times New Roman"/>
          <w:bCs/>
          <w:sz w:val="24"/>
          <w:szCs w:val="24"/>
        </w:rPr>
        <w:t>, Lot</w:t>
      </w:r>
      <w:r w:rsidR="008659EA">
        <w:rPr>
          <w:rFonts w:ascii="Times New Roman" w:eastAsia="Times New Roman" w:hAnsi="Times New Roman" w:cs="Times New Roman"/>
          <w:bCs/>
          <w:sz w:val="24"/>
          <w:szCs w:val="24"/>
        </w:rPr>
        <w:t xml:space="preserve"> </w:t>
      </w:r>
      <w:r w:rsidR="00D56BCF">
        <w:rPr>
          <w:rFonts w:ascii="Times New Roman" w:eastAsia="Times New Roman" w:hAnsi="Times New Roman" w:cs="Times New Roman"/>
          <w:bCs/>
          <w:sz w:val="24"/>
          <w:szCs w:val="24"/>
        </w:rPr>
        <w:t>6</w:t>
      </w:r>
      <w:r w:rsidR="00573F62"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Manhattan</w:t>
      </w:r>
      <w:r w:rsidRPr="0037354F">
        <w:rPr>
          <w:rFonts w:ascii="Times New Roman" w:eastAsia="Times New Roman" w:hAnsi="Times New Roman" w:cs="Times New Roman"/>
          <w:sz w:val="24"/>
          <w:szCs w:val="24"/>
        </w:rPr>
        <w:t>:</w:t>
      </w:r>
    </w:p>
    <w:p w14:paraId="3DFA2A4A" w14:textId="46C9501D"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2896ED6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5FEC58DF"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66D3D51D" w14:textId="77777777" w:rsidR="00D56BCF" w:rsidRDefault="00D56BCF" w:rsidP="00D56BCF">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“Company” shall mean O.W.J.E. Realty Co. Inc. or any other entity that acquires the beneficial interest in the Exemption Area with the prior written consent of HPD.</w:t>
      </w:r>
    </w:p>
    <w:p w14:paraId="1E556492" w14:textId="77777777" w:rsidR="00D56BCF" w:rsidRPr="00D56BCF" w:rsidRDefault="00D56BCF" w:rsidP="00D56BCF">
      <w:pPr>
        <w:rPr>
          <w:rFonts w:ascii="Times New Roman" w:hAnsi="Times New Roman" w:cs="Times New Roman"/>
          <w:sz w:val="24"/>
          <w:szCs w:val="24"/>
        </w:rPr>
      </w:pPr>
    </w:p>
    <w:p w14:paraId="617D793E" w14:textId="77777777" w:rsidR="00D56BCF" w:rsidRDefault="00D56BCF" w:rsidP="00D56BCF">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 xml:space="preserve"> “Effective Date” shall mean January 26, 2021.  </w:t>
      </w:r>
    </w:p>
    <w:p w14:paraId="79F1A746" w14:textId="77777777" w:rsidR="00D56BCF" w:rsidRPr="00D56BCF" w:rsidRDefault="00D56BCF" w:rsidP="00D56BCF">
      <w:pPr>
        <w:pStyle w:val="ListParagraph"/>
        <w:rPr>
          <w:rFonts w:ascii="Times New Roman" w:hAnsi="Times New Roman" w:cs="Times New Roman"/>
          <w:sz w:val="24"/>
          <w:szCs w:val="24"/>
        </w:rPr>
      </w:pPr>
    </w:p>
    <w:p w14:paraId="51E8999D" w14:textId="77777777" w:rsidR="00D56BCF" w:rsidRDefault="00D56BCF" w:rsidP="00D56BCF">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“Exemption” shall mean the exemption from real property taxation provided hereunder.</w:t>
      </w:r>
    </w:p>
    <w:p w14:paraId="4B3A04D2" w14:textId="77777777" w:rsidR="00D56BCF" w:rsidRPr="00D56BCF" w:rsidRDefault="00D56BCF" w:rsidP="00D56BCF">
      <w:pPr>
        <w:pStyle w:val="ListParagraph"/>
        <w:rPr>
          <w:rFonts w:ascii="Times New Roman" w:hAnsi="Times New Roman" w:cs="Times New Roman"/>
          <w:sz w:val="24"/>
          <w:szCs w:val="24"/>
        </w:rPr>
      </w:pPr>
    </w:p>
    <w:p w14:paraId="79133C7D" w14:textId="0CE362BB" w:rsidR="00D56BCF" w:rsidRDefault="00D56BCF" w:rsidP="00D56BCF">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“Exemption Area” shall mean the real property located in the Borough of Manhattan, City and State of New York, identified as Block 2051, Lot 6 on the Tax Map of the City of New York.</w:t>
      </w:r>
    </w:p>
    <w:p w14:paraId="549705FA" w14:textId="77777777" w:rsidR="00D56BCF" w:rsidRPr="00D56BCF" w:rsidRDefault="00D56BCF" w:rsidP="00D56BCF">
      <w:pPr>
        <w:pStyle w:val="ListParagraph"/>
        <w:rPr>
          <w:rFonts w:ascii="Times New Roman" w:hAnsi="Times New Roman" w:cs="Times New Roman"/>
          <w:sz w:val="24"/>
          <w:szCs w:val="24"/>
        </w:rPr>
      </w:pPr>
    </w:p>
    <w:p w14:paraId="342B162E" w14:textId="77777777" w:rsidR="00D56BCF" w:rsidRDefault="00D56BCF" w:rsidP="00D56BCF">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“Expiration Date” shall mean the earlier to occur of (i) a date which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p>
    <w:p w14:paraId="6DDB9E34" w14:textId="77777777" w:rsidR="00D56BCF" w:rsidRPr="00D56BCF" w:rsidRDefault="00D56BCF" w:rsidP="00D56BCF">
      <w:pPr>
        <w:pStyle w:val="ListParagraph"/>
        <w:rPr>
          <w:rFonts w:ascii="Times New Roman" w:hAnsi="Times New Roman" w:cs="Times New Roman"/>
          <w:sz w:val="24"/>
          <w:szCs w:val="24"/>
        </w:rPr>
      </w:pPr>
    </w:p>
    <w:p w14:paraId="39DA0EC0" w14:textId="77777777" w:rsidR="00D56BCF" w:rsidRDefault="00D56BCF" w:rsidP="00D56BCF">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“HDFC” shall mean HP 349 West 141st Street Housing Development Fund Company, Inc. or a housing development fund company that acquires the Exemption Area with the prior written consent of HPD.</w:t>
      </w:r>
    </w:p>
    <w:p w14:paraId="76FD6707" w14:textId="77777777" w:rsidR="00D56BCF" w:rsidRPr="00D56BCF" w:rsidRDefault="00D56BCF" w:rsidP="00D56BCF">
      <w:pPr>
        <w:pStyle w:val="ListParagraph"/>
        <w:rPr>
          <w:rFonts w:ascii="Times New Roman" w:hAnsi="Times New Roman" w:cs="Times New Roman"/>
          <w:sz w:val="24"/>
          <w:szCs w:val="24"/>
        </w:rPr>
      </w:pPr>
    </w:p>
    <w:p w14:paraId="2F93E019" w14:textId="77777777" w:rsidR="00D56BCF" w:rsidRDefault="00D56BCF" w:rsidP="00D56BCF">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lastRenderedPageBreak/>
        <w:t>“HPD” shall mean the Department of Housing Preservation and Development of the City of New York.</w:t>
      </w:r>
    </w:p>
    <w:p w14:paraId="1388117D" w14:textId="77777777" w:rsidR="00D56BCF" w:rsidRPr="00D56BCF" w:rsidRDefault="00D56BCF" w:rsidP="00D56BCF">
      <w:pPr>
        <w:pStyle w:val="ListParagraph"/>
        <w:rPr>
          <w:rFonts w:ascii="Times New Roman" w:hAnsi="Times New Roman" w:cs="Times New Roman"/>
          <w:sz w:val="24"/>
          <w:szCs w:val="24"/>
        </w:rPr>
      </w:pPr>
    </w:p>
    <w:p w14:paraId="5C78B141" w14:textId="77777777" w:rsidR="00D56BCF" w:rsidRDefault="00D56BCF" w:rsidP="00D56BCF">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“Owner” shall mean, collectively, the HDFC and the Company.</w:t>
      </w:r>
    </w:p>
    <w:p w14:paraId="7BABF852" w14:textId="77777777" w:rsidR="00D56BCF" w:rsidRPr="00D56BCF" w:rsidRDefault="00D56BCF" w:rsidP="00D56BCF">
      <w:pPr>
        <w:pStyle w:val="ListParagraph"/>
        <w:rPr>
          <w:rFonts w:ascii="Times New Roman" w:hAnsi="Times New Roman" w:cs="Times New Roman"/>
          <w:sz w:val="24"/>
          <w:szCs w:val="24"/>
        </w:rPr>
      </w:pPr>
    </w:p>
    <w:p w14:paraId="2CDFC342" w14:textId="77777777" w:rsidR="00D56BCF" w:rsidRPr="00D56BCF" w:rsidRDefault="00D56BCF" w:rsidP="00D56BCF">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 xml:space="preserve">“Regulatory Agreement” shall mean the Affordable Housing Regulatory Agreement between HPD and the Owner dated January 26, 2021 and recorded on February 19, 2021 (CRFN 2021000062345), the First Amendment to Regulatory Agreement between HPD and the Owner dated February 28, 2024 and recorded on March 11, 2024 (CRFN 2024000061001), and a second amendment to the Regulatory Agreement between HPD and the Owner that is executed on or after May 1, 2026, all establishing certain controls upon the operation of the Exemption Area.  </w:t>
      </w:r>
    </w:p>
    <w:p w14:paraId="47708801" w14:textId="77777777" w:rsidR="00702785" w:rsidRPr="00702785" w:rsidRDefault="00702785" w:rsidP="00702785">
      <w:pPr>
        <w:ind w:left="0" w:firstLine="0"/>
        <w:rPr>
          <w:rFonts w:ascii="Times New Roman" w:hAnsi="Times New Roman" w:cs="Times New Roman"/>
          <w:sz w:val="24"/>
          <w:szCs w:val="24"/>
        </w:rPr>
      </w:pPr>
    </w:p>
    <w:p w14:paraId="707725CD" w14:textId="720D8CED" w:rsidR="008659EA" w:rsidRPr="008659EA" w:rsidRDefault="008659EA" w:rsidP="00AF3804">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2.</w:t>
      </w:r>
      <w:r w:rsidR="00702785">
        <w:rPr>
          <w:rFonts w:ascii="Times New Roman" w:hAnsi="Times New Roman" w:cs="Times New Roman"/>
          <w:sz w:val="24"/>
          <w:szCs w:val="24"/>
        </w:rPr>
        <w:t xml:space="preserve"> </w:t>
      </w:r>
      <w:r w:rsidR="00D56BCF" w:rsidRPr="00D56BCF">
        <w:rPr>
          <w:rFonts w:ascii="Times New Roman" w:hAnsi="Times New Roman" w:cs="Times New Roman"/>
          <w:sz w:val="24"/>
          <w:szCs w:val="24"/>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p>
    <w:p w14:paraId="1DD7D324" w14:textId="77777777" w:rsidR="00D56BCF" w:rsidRDefault="00D56BCF" w:rsidP="00D56BCF">
      <w:pPr>
        <w:ind w:left="0" w:firstLine="0"/>
        <w:rPr>
          <w:rFonts w:ascii="Times New Roman" w:hAnsi="Times New Roman" w:cs="Times New Roman"/>
          <w:sz w:val="24"/>
          <w:szCs w:val="24"/>
        </w:rPr>
      </w:pPr>
    </w:p>
    <w:p w14:paraId="304120DB" w14:textId="2200A9FF" w:rsidR="00702785" w:rsidRDefault="00D56BCF" w:rsidP="00D56BCF">
      <w:pPr>
        <w:ind w:left="0" w:firstLine="0"/>
        <w:rPr>
          <w:rFonts w:ascii="Times New Roman" w:hAnsi="Times New Roman" w:cs="Times New Roman"/>
          <w:sz w:val="24"/>
          <w:szCs w:val="24"/>
        </w:rPr>
      </w:pPr>
      <w:r>
        <w:rPr>
          <w:rFonts w:ascii="Times New Roman" w:hAnsi="Times New Roman" w:cs="Times New Roman"/>
          <w:sz w:val="24"/>
          <w:szCs w:val="24"/>
        </w:rPr>
        <w:t xml:space="preserve">3. </w:t>
      </w:r>
      <w:r w:rsidR="00702785" w:rsidRPr="00702785">
        <w:rPr>
          <w:rFonts w:ascii="Times New Roman" w:hAnsi="Times New Roman" w:cs="Times New Roman"/>
          <w:sz w:val="24"/>
          <w:szCs w:val="24"/>
        </w:rPr>
        <w:t>Notwithstanding any provision hereof to the contrary:</w:t>
      </w:r>
    </w:p>
    <w:p w14:paraId="512028A3" w14:textId="77777777" w:rsidR="002B155E" w:rsidRPr="00702785" w:rsidRDefault="002B155E" w:rsidP="00D56BCF">
      <w:pPr>
        <w:ind w:left="0" w:firstLine="0"/>
        <w:rPr>
          <w:rFonts w:ascii="Times New Roman" w:hAnsi="Times New Roman" w:cs="Times New Roman"/>
          <w:sz w:val="24"/>
          <w:szCs w:val="24"/>
        </w:rPr>
      </w:pPr>
    </w:p>
    <w:p w14:paraId="4D963EF6" w14:textId="3C598109" w:rsidR="00702785" w:rsidRDefault="00D56BCF" w:rsidP="00702785">
      <w:pPr>
        <w:pStyle w:val="ListParagraph"/>
        <w:numPr>
          <w:ilvl w:val="0"/>
          <w:numId w:val="25"/>
        </w:numPr>
        <w:rPr>
          <w:rFonts w:ascii="Times New Roman" w:hAnsi="Times New Roman" w:cs="Times New Roman"/>
          <w:sz w:val="24"/>
          <w:szCs w:val="24"/>
        </w:rPr>
      </w:pPr>
      <w:r w:rsidRPr="00D56BCF">
        <w:rPr>
          <w:rFonts w:ascii="Times New Roman" w:hAnsi="Times New Roman" w:cs="Times New Roman"/>
          <w:sz w:val="24"/>
          <w:szCs w:val="24"/>
        </w:rPr>
        <w:t>The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Exemption shall prospectively terminate.</w:t>
      </w:r>
    </w:p>
    <w:p w14:paraId="35CFD965" w14:textId="77777777" w:rsidR="00702785" w:rsidRDefault="00702785" w:rsidP="00702785">
      <w:pPr>
        <w:pStyle w:val="ListParagraph"/>
        <w:ind w:firstLine="0"/>
        <w:rPr>
          <w:rFonts w:ascii="Times New Roman" w:hAnsi="Times New Roman" w:cs="Times New Roman"/>
          <w:sz w:val="24"/>
          <w:szCs w:val="24"/>
        </w:rPr>
      </w:pPr>
    </w:p>
    <w:p w14:paraId="120073FF" w14:textId="600E4A0A" w:rsidR="00702785" w:rsidRDefault="00D56BCF" w:rsidP="00B02499">
      <w:pPr>
        <w:pStyle w:val="ListParagraph"/>
        <w:numPr>
          <w:ilvl w:val="0"/>
          <w:numId w:val="25"/>
        </w:numPr>
        <w:rPr>
          <w:rFonts w:ascii="Times New Roman" w:hAnsi="Times New Roman" w:cs="Times New Roman"/>
          <w:sz w:val="24"/>
          <w:szCs w:val="24"/>
        </w:rPr>
      </w:pPr>
      <w:r w:rsidRPr="00D56BCF">
        <w:rPr>
          <w:rFonts w:ascii="Times New Roman" w:hAnsi="Times New Roman" w:cs="Times New Roman"/>
          <w:sz w:val="24"/>
          <w:szCs w:val="24"/>
        </w:rPr>
        <w:t>The Exemption shall apply to all land in the Exemption Area, but shall only apply to a building on the Exemption Area that has a new permanent certificate of occupancy or a temporary certificate of occupancy for all of the residential areas on or before seven years from the Effective Date.</w:t>
      </w:r>
    </w:p>
    <w:p w14:paraId="7D36F907" w14:textId="77777777" w:rsidR="00D56BCF" w:rsidRPr="00D56BCF" w:rsidRDefault="00D56BCF" w:rsidP="00D56BCF">
      <w:pPr>
        <w:pStyle w:val="ListParagraph"/>
        <w:rPr>
          <w:rFonts w:ascii="Times New Roman" w:hAnsi="Times New Roman" w:cs="Times New Roman"/>
          <w:sz w:val="24"/>
          <w:szCs w:val="24"/>
        </w:rPr>
      </w:pPr>
    </w:p>
    <w:p w14:paraId="0FE0248A" w14:textId="77777777" w:rsidR="00D56BCF" w:rsidRPr="00D56BCF" w:rsidRDefault="00D56BCF" w:rsidP="00D56BCF">
      <w:pPr>
        <w:pStyle w:val="ListParagraph"/>
        <w:numPr>
          <w:ilvl w:val="0"/>
          <w:numId w:val="25"/>
        </w:numPr>
        <w:rPr>
          <w:rFonts w:ascii="Times New Roman" w:hAnsi="Times New Roman" w:cs="Times New Roman"/>
          <w:sz w:val="24"/>
          <w:szCs w:val="24"/>
        </w:rPr>
      </w:pPr>
      <w:r w:rsidRPr="00D56BCF">
        <w:rPr>
          <w:rFonts w:ascii="Times New Roman" w:hAnsi="Times New Roman" w:cs="Times New Roman"/>
          <w:sz w:val="24"/>
          <w:szCs w:val="24"/>
        </w:rPr>
        <w:t>Nothing herein shall entitle the HDFC, the Owner, or any other person or entity to a refund of any real property taxes which accrued and were paid with respect to the Exemption Area prior to the Effective Date.</w:t>
      </w:r>
    </w:p>
    <w:p w14:paraId="0E16EB9F" w14:textId="0BA8041F" w:rsidR="008659EA" w:rsidRPr="00D56BCF" w:rsidRDefault="008659EA" w:rsidP="00D56BCF">
      <w:pPr>
        <w:pStyle w:val="ListParagraph"/>
        <w:ind w:firstLine="0"/>
        <w:rPr>
          <w:rFonts w:ascii="Times New Roman" w:hAnsi="Times New Roman" w:cs="Times New Roman"/>
          <w:sz w:val="24"/>
          <w:szCs w:val="24"/>
        </w:rPr>
      </w:pPr>
    </w:p>
    <w:p w14:paraId="2059FCF1" w14:textId="11906599" w:rsidR="008659EA" w:rsidRPr="00EB36BF" w:rsidRDefault="00D56BCF" w:rsidP="00EB36BF">
      <w:pPr>
        <w:ind w:left="0" w:firstLine="0"/>
        <w:rPr>
          <w:rFonts w:ascii="Times New Roman" w:hAnsi="Times New Roman" w:cs="Times New Roman"/>
          <w:sz w:val="24"/>
          <w:szCs w:val="24"/>
        </w:rPr>
      </w:pPr>
      <w:r>
        <w:rPr>
          <w:rFonts w:ascii="Times New Roman" w:hAnsi="Times New Roman" w:cs="Times New Roman"/>
          <w:sz w:val="24"/>
          <w:szCs w:val="24"/>
        </w:rPr>
        <w:t>4</w:t>
      </w:r>
      <w:r w:rsidR="008659EA" w:rsidRPr="00EB36BF">
        <w:rPr>
          <w:rFonts w:ascii="Times New Roman" w:hAnsi="Times New Roman" w:cs="Times New Roman"/>
          <w:sz w:val="24"/>
          <w:szCs w:val="24"/>
        </w:rPr>
        <w:t>.</w:t>
      </w:r>
      <w:r w:rsidR="00EB36BF">
        <w:rPr>
          <w:rFonts w:ascii="Times New Roman" w:hAnsi="Times New Roman" w:cs="Times New Roman"/>
          <w:sz w:val="24"/>
          <w:szCs w:val="24"/>
        </w:rPr>
        <w:t xml:space="preserve"> </w:t>
      </w:r>
      <w:r w:rsidRPr="00D56BCF">
        <w:rPr>
          <w:rFonts w:ascii="Times New Roman" w:hAnsi="Times New Roman" w:cs="Times New Roman"/>
          <w:sz w:val="24"/>
          <w:szCs w:val="24"/>
        </w:rPr>
        <w:t xml:space="preserve">In consideration of the Exemption, the owner of the Exemption Area shall, for so long as the Exemption shall remain in effect, waive the benefits of any additional or concurrent exemption from or abatement of real property taxation which may be authorized under any existing or future local, state, or federal law, rule, or regulation. Notwithstanding the foregoing, nothing herein shall </w:t>
      </w:r>
      <w:r w:rsidRPr="00D56BCF">
        <w:rPr>
          <w:rFonts w:ascii="Times New Roman" w:hAnsi="Times New Roman" w:cs="Times New Roman"/>
          <w:sz w:val="24"/>
          <w:szCs w:val="24"/>
        </w:rPr>
        <w:lastRenderedPageBreak/>
        <w:t>prohibit the granting of any real property tax abatement pursuant to Sections 467-b or 467-c of the Real Property Tax Law to real property occupied by senior citizens or persons with disabilities</w:t>
      </w:r>
      <w:r w:rsidR="00702785" w:rsidRPr="00702785">
        <w:rPr>
          <w:rFonts w:ascii="Times New Roman" w:hAnsi="Times New Roman" w:cs="Times New Roman"/>
          <w:sz w:val="24"/>
          <w:szCs w:val="24"/>
        </w:rPr>
        <w:t>.</w:t>
      </w:r>
    </w:p>
    <w:p w14:paraId="75386C5F" w14:textId="77777777" w:rsidR="0064284C" w:rsidRPr="0037354F" w:rsidRDefault="0064284C" w:rsidP="00296DB9">
      <w:pPr>
        <w:pStyle w:val="ListParagraph"/>
        <w:ind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494B6559"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Pr="00CD27D5" w:rsidRDefault="0064609E" w:rsidP="00C57AF3">
      <w:pPr>
        <w:shd w:val="clear" w:color="auto" w:fill="FFFFFF"/>
        <w:spacing w:after="240" w:line="240" w:lineRule="auto"/>
        <w:ind w:left="5040" w:firstLine="0"/>
        <w:rPr>
          <w:rFonts w:ascii="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sectPr w:rsidR="00F771FF" w:rsidRPr="00CD27D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11737" w14:textId="77777777" w:rsidR="00BD09BB" w:rsidRDefault="00BD09BB">
      <w:pPr>
        <w:spacing w:after="0" w:line="240" w:lineRule="auto"/>
      </w:pPr>
      <w:r>
        <w:separator/>
      </w:r>
    </w:p>
  </w:endnote>
  <w:endnote w:type="continuationSeparator" w:id="0">
    <w:p w14:paraId="06B5C044" w14:textId="77777777" w:rsidR="00BD09BB" w:rsidRDefault="00BD0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3058B" w14:textId="77777777" w:rsidR="00BD09BB" w:rsidRDefault="00BD09BB">
      <w:pPr>
        <w:spacing w:after="0" w:line="240" w:lineRule="auto"/>
      </w:pPr>
      <w:r>
        <w:separator/>
      </w:r>
    </w:p>
  </w:footnote>
  <w:footnote w:type="continuationSeparator" w:id="0">
    <w:p w14:paraId="69823735" w14:textId="77777777" w:rsidR="00BD09BB" w:rsidRDefault="00BD09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24235"/>
    <w:rsid w:val="000469C7"/>
    <w:rsid w:val="000550FC"/>
    <w:rsid w:val="0007054B"/>
    <w:rsid w:val="0007661F"/>
    <w:rsid w:val="00086CEB"/>
    <w:rsid w:val="00087478"/>
    <w:rsid w:val="000A0A15"/>
    <w:rsid w:val="000B36B6"/>
    <w:rsid w:val="000B4BBF"/>
    <w:rsid w:val="000B7A70"/>
    <w:rsid w:val="000C45A5"/>
    <w:rsid w:val="000D66F0"/>
    <w:rsid w:val="0010747D"/>
    <w:rsid w:val="001227D8"/>
    <w:rsid w:val="00124664"/>
    <w:rsid w:val="0013019E"/>
    <w:rsid w:val="00144446"/>
    <w:rsid w:val="00144D7F"/>
    <w:rsid w:val="00152BB2"/>
    <w:rsid w:val="00164E2F"/>
    <w:rsid w:val="00170B8F"/>
    <w:rsid w:val="00171BB4"/>
    <w:rsid w:val="0017253E"/>
    <w:rsid w:val="0017331D"/>
    <w:rsid w:val="00176B6F"/>
    <w:rsid w:val="001B3041"/>
    <w:rsid w:val="001D2A9A"/>
    <w:rsid w:val="00235A67"/>
    <w:rsid w:val="002554CB"/>
    <w:rsid w:val="00274924"/>
    <w:rsid w:val="00280C98"/>
    <w:rsid w:val="0028371C"/>
    <w:rsid w:val="00296DB9"/>
    <w:rsid w:val="002A1C2F"/>
    <w:rsid w:val="002B155E"/>
    <w:rsid w:val="002B3482"/>
    <w:rsid w:val="002C5429"/>
    <w:rsid w:val="002D1250"/>
    <w:rsid w:val="002D3CC1"/>
    <w:rsid w:val="002F0ADA"/>
    <w:rsid w:val="00314EBF"/>
    <w:rsid w:val="00326F49"/>
    <w:rsid w:val="00341301"/>
    <w:rsid w:val="003438A9"/>
    <w:rsid w:val="00370C25"/>
    <w:rsid w:val="0037354F"/>
    <w:rsid w:val="00394529"/>
    <w:rsid w:val="003A234F"/>
    <w:rsid w:val="003A37E6"/>
    <w:rsid w:val="003B253C"/>
    <w:rsid w:val="003C58FD"/>
    <w:rsid w:val="003E722B"/>
    <w:rsid w:val="004060A6"/>
    <w:rsid w:val="004323D3"/>
    <w:rsid w:val="00441BA0"/>
    <w:rsid w:val="00441F57"/>
    <w:rsid w:val="004643A9"/>
    <w:rsid w:val="004A1498"/>
    <w:rsid w:val="004B115E"/>
    <w:rsid w:val="004B5C53"/>
    <w:rsid w:val="004C6963"/>
    <w:rsid w:val="004D3C58"/>
    <w:rsid w:val="004D73D6"/>
    <w:rsid w:val="004E1617"/>
    <w:rsid w:val="00503C10"/>
    <w:rsid w:val="005048C2"/>
    <w:rsid w:val="00506787"/>
    <w:rsid w:val="00512C0A"/>
    <w:rsid w:val="00547EDF"/>
    <w:rsid w:val="00567BA5"/>
    <w:rsid w:val="00570D78"/>
    <w:rsid w:val="00573F62"/>
    <w:rsid w:val="005858F0"/>
    <w:rsid w:val="005A2EF0"/>
    <w:rsid w:val="005B0A12"/>
    <w:rsid w:val="005B7A47"/>
    <w:rsid w:val="005D6096"/>
    <w:rsid w:val="005E4BED"/>
    <w:rsid w:val="005F1AB6"/>
    <w:rsid w:val="005F5F3D"/>
    <w:rsid w:val="006005EF"/>
    <w:rsid w:val="006033B6"/>
    <w:rsid w:val="0064284C"/>
    <w:rsid w:val="0064609E"/>
    <w:rsid w:val="0065136A"/>
    <w:rsid w:val="00654FC1"/>
    <w:rsid w:val="00661E56"/>
    <w:rsid w:val="0066423D"/>
    <w:rsid w:val="00670EF9"/>
    <w:rsid w:val="006A3F50"/>
    <w:rsid w:val="006B7FBC"/>
    <w:rsid w:val="006C7541"/>
    <w:rsid w:val="006D4EBA"/>
    <w:rsid w:val="006D5EC4"/>
    <w:rsid w:val="006D7615"/>
    <w:rsid w:val="006F21BE"/>
    <w:rsid w:val="006F67A3"/>
    <w:rsid w:val="0070072A"/>
    <w:rsid w:val="00702785"/>
    <w:rsid w:val="007045B4"/>
    <w:rsid w:val="007330FC"/>
    <w:rsid w:val="00743B5D"/>
    <w:rsid w:val="007618BF"/>
    <w:rsid w:val="007734A3"/>
    <w:rsid w:val="0079516A"/>
    <w:rsid w:val="007A73F6"/>
    <w:rsid w:val="007C2DE4"/>
    <w:rsid w:val="007C5499"/>
    <w:rsid w:val="007D2960"/>
    <w:rsid w:val="007E5C51"/>
    <w:rsid w:val="00820B41"/>
    <w:rsid w:val="00827948"/>
    <w:rsid w:val="00830FA9"/>
    <w:rsid w:val="0084314A"/>
    <w:rsid w:val="0085666E"/>
    <w:rsid w:val="00864E60"/>
    <w:rsid w:val="008659EA"/>
    <w:rsid w:val="00874218"/>
    <w:rsid w:val="00896A30"/>
    <w:rsid w:val="008B2095"/>
    <w:rsid w:val="008B61F7"/>
    <w:rsid w:val="008D591D"/>
    <w:rsid w:val="008E4236"/>
    <w:rsid w:val="008E53F9"/>
    <w:rsid w:val="008E78F5"/>
    <w:rsid w:val="008F1D1C"/>
    <w:rsid w:val="00901C82"/>
    <w:rsid w:val="0090208A"/>
    <w:rsid w:val="0090597D"/>
    <w:rsid w:val="00915763"/>
    <w:rsid w:val="009419D7"/>
    <w:rsid w:val="009673B9"/>
    <w:rsid w:val="00980C40"/>
    <w:rsid w:val="009B0710"/>
    <w:rsid w:val="009B64A7"/>
    <w:rsid w:val="009C163D"/>
    <w:rsid w:val="009D5153"/>
    <w:rsid w:val="009E6D4C"/>
    <w:rsid w:val="00A04C22"/>
    <w:rsid w:val="00A3343F"/>
    <w:rsid w:val="00A42AE4"/>
    <w:rsid w:val="00A45133"/>
    <w:rsid w:val="00A6234E"/>
    <w:rsid w:val="00A630EB"/>
    <w:rsid w:val="00A73E80"/>
    <w:rsid w:val="00A83041"/>
    <w:rsid w:val="00A86E3F"/>
    <w:rsid w:val="00A92383"/>
    <w:rsid w:val="00AB765A"/>
    <w:rsid w:val="00AD6F26"/>
    <w:rsid w:val="00AF3804"/>
    <w:rsid w:val="00B03BF8"/>
    <w:rsid w:val="00B04AC0"/>
    <w:rsid w:val="00B06BB5"/>
    <w:rsid w:val="00B1481B"/>
    <w:rsid w:val="00B22042"/>
    <w:rsid w:val="00B2356F"/>
    <w:rsid w:val="00B476F8"/>
    <w:rsid w:val="00B54C37"/>
    <w:rsid w:val="00B658A8"/>
    <w:rsid w:val="00B731A5"/>
    <w:rsid w:val="00B9070C"/>
    <w:rsid w:val="00B967EA"/>
    <w:rsid w:val="00BC7BD2"/>
    <w:rsid w:val="00BD09BB"/>
    <w:rsid w:val="00BD40B4"/>
    <w:rsid w:val="00BD616D"/>
    <w:rsid w:val="00BE62B6"/>
    <w:rsid w:val="00BF2BC0"/>
    <w:rsid w:val="00C0197C"/>
    <w:rsid w:val="00C03F99"/>
    <w:rsid w:val="00C14CC4"/>
    <w:rsid w:val="00C2198F"/>
    <w:rsid w:val="00C321C4"/>
    <w:rsid w:val="00C3799C"/>
    <w:rsid w:val="00C47CC8"/>
    <w:rsid w:val="00C57AF3"/>
    <w:rsid w:val="00C70258"/>
    <w:rsid w:val="00C71E38"/>
    <w:rsid w:val="00C81AD1"/>
    <w:rsid w:val="00C85A42"/>
    <w:rsid w:val="00CB51DB"/>
    <w:rsid w:val="00CB70AE"/>
    <w:rsid w:val="00CD27D5"/>
    <w:rsid w:val="00CE268C"/>
    <w:rsid w:val="00CE2A11"/>
    <w:rsid w:val="00CF7345"/>
    <w:rsid w:val="00D07B72"/>
    <w:rsid w:val="00D136FF"/>
    <w:rsid w:val="00D167E1"/>
    <w:rsid w:val="00D178BA"/>
    <w:rsid w:val="00D23896"/>
    <w:rsid w:val="00D307EE"/>
    <w:rsid w:val="00D41AFA"/>
    <w:rsid w:val="00D52503"/>
    <w:rsid w:val="00D56BCF"/>
    <w:rsid w:val="00D84A43"/>
    <w:rsid w:val="00D91B72"/>
    <w:rsid w:val="00D956A4"/>
    <w:rsid w:val="00D97AA5"/>
    <w:rsid w:val="00DB0CEB"/>
    <w:rsid w:val="00DB6E72"/>
    <w:rsid w:val="00DC6C41"/>
    <w:rsid w:val="00DE0000"/>
    <w:rsid w:val="00DE52E7"/>
    <w:rsid w:val="00DF0587"/>
    <w:rsid w:val="00DF7A16"/>
    <w:rsid w:val="00E216D7"/>
    <w:rsid w:val="00E21B7D"/>
    <w:rsid w:val="00E34B1F"/>
    <w:rsid w:val="00E542C4"/>
    <w:rsid w:val="00E5483E"/>
    <w:rsid w:val="00E77702"/>
    <w:rsid w:val="00EB36BF"/>
    <w:rsid w:val="00EC021E"/>
    <w:rsid w:val="00EC6EF8"/>
    <w:rsid w:val="00ED01D4"/>
    <w:rsid w:val="00EF4C28"/>
    <w:rsid w:val="00EF6703"/>
    <w:rsid w:val="00F038F0"/>
    <w:rsid w:val="00F05CAC"/>
    <w:rsid w:val="00F239CE"/>
    <w:rsid w:val="00F304B3"/>
    <w:rsid w:val="00F3497C"/>
    <w:rsid w:val="00F41442"/>
    <w:rsid w:val="00F45F61"/>
    <w:rsid w:val="00F46C78"/>
    <w:rsid w:val="00F52330"/>
    <w:rsid w:val="00F771FF"/>
    <w:rsid w:val="00F8434B"/>
    <w:rsid w:val="00FB733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semiHidden/>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semiHidden/>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850</Words>
  <Characters>4850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2026-06-05T23:32:00Z</dcterms:created>
  <dcterms:modified xsi:type="dcterms:W3CDTF">2026-06-11T15:26:00Z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