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2"/>
        <w:gridCol w:w="5498"/>
      </w:tblGrid>
      <w:tr w:rsidR="00352252" w:rsidTr="00C87D5E">
        <w:trPr>
          <w:jc w:val="center"/>
        </w:trPr>
        <w:tc>
          <w:tcPr>
            <w:tcW w:w="5310" w:type="dxa"/>
            <w:tcBorders>
              <w:bottom w:val="single" w:sz="6" w:space="0" w:color="auto"/>
            </w:tcBorders>
          </w:tcPr>
          <w:p w:rsidR="00352252" w:rsidRDefault="0068314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6CBB461" wp14:editId="5FD3C162">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rsidR="00352252" w:rsidRDefault="00352252"/>
        </w:tc>
        <w:tc>
          <w:tcPr>
            <w:tcW w:w="5508" w:type="dxa"/>
            <w:tcBorders>
              <w:bottom w:val="single" w:sz="6" w:space="0" w:color="auto"/>
            </w:tcBorders>
          </w:tcPr>
          <w:p w:rsidR="00AC3B91" w:rsidRDefault="00AC3B91" w:rsidP="00AC3B91">
            <w:pPr>
              <w:rPr>
                <w:b/>
                <w:bCs/>
                <w:smallCaps/>
              </w:rPr>
            </w:pPr>
            <w:r>
              <w:rPr>
                <w:b/>
                <w:bCs/>
                <w:smallCaps/>
              </w:rPr>
              <w:t>The Council of the City of New York</w:t>
            </w:r>
          </w:p>
          <w:p w:rsidR="00AC3B91" w:rsidRDefault="00AC3B91" w:rsidP="00AC3B91">
            <w:pPr>
              <w:rPr>
                <w:b/>
                <w:bCs/>
                <w:smallCaps/>
              </w:rPr>
            </w:pPr>
            <w:r>
              <w:rPr>
                <w:b/>
                <w:bCs/>
                <w:smallCaps/>
              </w:rPr>
              <w:t>Finance Division</w:t>
            </w:r>
          </w:p>
          <w:p w:rsidR="00AC3B91" w:rsidRDefault="00A46F43" w:rsidP="00AC3B91">
            <w:pPr>
              <w:spacing w:before="120"/>
              <w:rPr>
                <w:b/>
                <w:bCs/>
                <w:smallCaps/>
              </w:rPr>
            </w:pPr>
            <w:r>
              <w:rPr>
                <w:b/>
                <w:bCs/>
                <w:smallCaps/>
              </w:rPr>
              <w:t>Latonia Mckinney</w:t>
            </w:r>
            <w:r w:rsidR="00AC3B91">
              <w:rPr>
                <w:b/>
                <w:bCs/>
                <w:smallCaps/>
              </w:rPr>
              <w:t>, Director</w:t>
            </w:r>
          </w:p>
          <w:p w:rsidR="00AC3B91" w:rsidRDefault="00AC3B91" w:rsidP="00AC3B91">
            <w:pPr>
              <w:spacing w:before="120"/>
            </w:pPr>
            <w:r>
              <w:rPr>
                <w:b/>
                <w:bCs/>
                <w:smallCaps/>
              </w:rPr>
              <w:t>Fiscal Impact Statement</w:t>
            </w:r>
          </w:p>
          <w:p w:rsidR="00AC3B91" w:rsidRPr="00ED74D9" w:rsidRDefault="00AC3B91" w:rsidP="00AC3B91">
            <w:pPr>
              <w:rPr>
                <w:b/>
                <w:bCs/>
                <w:sz w:val="16"/>
                <w:szCs w:val="16"/>
              </w:rPr>
            </w:pPr>
          </w:p>
          <w:p w:rsidR="00AC3B91" w:rsidRPr="00A267C7" w:rsidRDefault="00AC3B91" w:rsidP="00AC3B91">
            <w:pPr>
              <w:rPr>
                <w:color w:val="FF0000"/>
                <w:sz w:val="16"/>
                <w:szCs w:val="16"/>
              </w:rPr>
            </w:pPr>
            <w:r>
              <w:rPr>
                <w:b/>
                <w:bCs/>
                <w:smallCaps/>
              </w:rPr>
              <w:t xml:space="preserve">Proposed Intro. </w:t>
            </w:r>
            <w:r w:rsidRPr="00D24628">
              <w:rPr>
                <w:b/>
                <w:bCs/>
                <w:smallCaps/>
              </w:rPr>
              <w:t>No</w:t>
            </w:r>
            <w:r w:rsidR="008D3779">
              <w:rPr>
                <w:b/>
                <w:bCs/>
                <w:smallCaps/>
              </w:rPr>
              <w:t>.</w:t>
            </w:r>
            <w:r w:rsidRPr="00D24628">
              <w:rPr>
                <w:b/>
                <w:bCs/>
              </w:rPr>
              <w:t xml:space="preserve">:  </w:t>
            </w:r>
            <w:r w:rsidR="005F1EA8">
              <w:rPr>
                <w:b/>
                <w:bCs/>
              </w:rPr>
              <w:t>1</w:t>
            </w:r>
            <w:r w:rsidR="003D3AB1">
              <w:rPr>
                <w:b/>
                <w:bCs/>
              </w:rPr>
              <w:t>259</w:t>
            </w:r>
            <w:r>
              <w:rPr>
                <w:b/>
                <w:bCs/>
              </w:rPr>
              <w:t>-A</w:t>
            </w:r>
          </w:p>
          <w:p w:rsidR="00352252" w:rsidRDefault="00AC3B91" w:rsidP="00E1727E">
            <w:r>
              <w:rPr>
                <w:b/>
                <w:bCs/>
                <w:smallCaps/>
              </w:rPr>
              <w:t>Committee</w:t>
            </w:r>
            <w:r>
              <w:rPr>
                <w:b/>
                <w:bCs/>
              </w:rPr>
              <w:t xml:space="preserve">:  </w:t>
            </w:r>
            <w:r w:rsidR="00E1727E">
              <w:rPr>
                <w:b/>
                <w:bCs/>
              </w:rPr>
              <w:t>Civil Rights</w:t>
            </w:r>
          </w:p>
        </w:tc>
      </w:tr>
      <w:tr w:rsidR="00352252" w:rsidTr="00517454">
        <w:trPr>
          <w:trHeight w:val="1209"/>
          <w:jc w:val="center"/>
        </w:trPr>
        <w:tc>
          <w:tcPr>
            <w:tcW w:w="5310" w:type="dxa"/>
            <w:tcBorders>
              <w:top w:val="single" w:sz="6" w:space="0" w:color="auto"/>
            </w:tcBorders>
          </w:tcPr>
          <w:p w:rsidR="005F1EA8" w:rsidRPr="0034507A" w:rsidRDefault="00352252" w:rsidP="005F1EA8">
            <w:pPr>
              <w:shd w:val="clear" w:color="auto" w:fill="FFFFFF"/>
            </w:pPr>
            <w:r w:rsidRPr="00326FF1">
              <w:rPr>
                <w:b/>
                <w:bCs/>
                <w:smallCaps/>
              </w:rPr>
              <w:t>Title</w:t>
            </w:r>
            <w:r w:rsidR="00C72B25" w:rsidRPr="00326FF1">
              <w:rPr>
                <w:b/>
                <w:bCs/>
                <w:smallCaps/>
              </w:rPr>
              <w:t xml:space="preserve">: </w:t>
            </w:r>
            <w:r w:rsidR="00C72B25" w:rsidRPr="00326FF1">
              <w:rPr>
                <w:bCs/>
                <w:smallCaps/>
              </w:rPr>
              <w:t xml:space="preserve"> </w:t>
            </w:r>
            <w:r w:rsidR="005F1EA8" w:rsidRPr="0034507A">
              <w:rPr>
                <w:color w:val="000000"/>
              </w:rPr>
              <w:t xml:space="preserve">A Local Law to amend the administrative code of the city of New York, in relation to </w:t>
            </w:r>
            <w:r w:rsidR="003D3AB1">
              <w:rPr>
                <w:color w:val="000000"/>
              </w:rPr>
              <w:t xml:space="preserve">prohibiting discrimination </w:t>
            </w:r>
            <w:proofErr w:type="gramStart"/>
            <w:r w:rsidR="003D3AB1">
              <w:rPr>
                <w:color w:val="000000"/>
              </w:rPr>
              <w:t>on the basis of</w:t>
            </w:r>
            <w:proofErr w:type="gramEnd"/>
            <w:r w:rsidR="003D3AB1">
              <w:rPr>
                <w:color w:val="000000"/>
              </w:rPr>
              <w:t xml:space="preserve"> uniformed service.</w:t>
            </w:r>
          </w:p>
          <w:p w:rsidR="00E83693" w:rsidRPr="00326FF1" w:rsidRDefault="00E83693" w:rsidP="003D2A99">
            <w:pPr>
              <w:shd w:val="clear" w:color="auto" w:fill="FFFFFF"/>
            </w:pPr>
          </w:p>
        </w:tc>
        <w:tc>
          <w:tcPr>
            <w:tcW w:w="5508" w:type="dxa"/>
            <w:tcBorders>
              <w:top w:val="single" w:sz="6" w:space="0" w:color="auto"/>
            </w:tcBorders>
          </w:tcPr>
          <w:p w:rsidR="005F1EA8" w:rsidRPr="0034507A" w:rsidRDefault="00352252" w:rsidP="005F1EA8">
            <w:pPr>
              <w:shd w:val="clear" w:color="auto" w:fill="FFFFFF"/>
            </w:pPr>
            <w:r w:rsidRPr="00326FF1">
              <w:rPr>
                <w:b/>
                <w:bCs/>
              </w:rPr>
              <w:t>Sponsor:</w:t>
            </w:r>
            <w:r w:rsidR="00D13AF8" w:rsidRPr="00326FF1">
              <w:rPr>
                <w:b/>
                <w:bCs/>
              </w:rPr>
              <w:t xml:space="preserve"> </w:t>
            </w:r>
            <w:r w:rsidR="005F1EA8" w:rsidRPr="0034507A">
              <w:rPr>
                <w:color w:val="000000"/>
              </w:rPr>
              <w:t xml:space="preserve">By </w:t>
            </w:r>
            <w:r w:rsidR="003D3AB1">
              <w:rPr>
                <w:color w:val="000000"/>
              </w:rPr>
              <w:t xml:space="preserve">Council Member Williams, the Public Advocate (Ms. James) and Council Members Richards, Gentile, Espinal, Rosenthal, Levin, King, Johnson, </w:t>
            </w:r>
            <w:r w:rsidR="00EC3A17">
              <w:rPr>
                <w:color w:val="000000"/>
              </w:rPr>
              <w:t>Torres, Van Bramer</w:t>
            </w:r>
            <w:r w:rsidR="00422870">
              <w:rPr>
                <w:color w:val="000000"/>
              </w:rPr>
              <w:t>, Constantinides, Levine, Vallone</w:t>
            </w:r>
            <w:r w:rsidR="00EC3A17">
              <w:rPr>
                <w:color w:val="000000"/>
              </w:rPr>
              <w:t xml:space="preserve">, </w:t>
            </w:r>
            <w:r w:rsidR="003D3AB1">
              <w:rPr>
                <w:color w:val="000000"/>
              </w:rPr>
              <w:t>Borelli and Ulrich.</w:t>
            </w:r>
          </w:p>
          <w:p w:rsidR="00D323D0" w:rsidRPr="00326FF1" w:rsidRDefault="00D323D0" w:rsidP="00D323D0">
            <w:pPr>
              <w:shd w:val="clear" w:color="auto" w:fill="FFFFFF"/>
              <w:autoSpaceDE w:val="0"/>
              <w:autoSpaceDN w:val="0"/>
              <w:adjustRightInd w:val="0"/>
            </w:pPr>
          </w:p>
        </w:tc>
      </w:tr>
      <w:tr w:rsidR="00352252" w:rsidTr="00C87D5E">
        <w:trPr>
          <w:cantSplit/>
          <w:trHeight w:val="554"/>
          <w:jc w:val="center"/>
        </w:trPr>
        <w:tc>
          <w:tcPr>
            <w:tcW w:w="10818" w:type="dxa"/>
            <w:gridSpan w:val="2"/>
          </w:tcPr>
          <w:p w:rsidR="00E1727E" w:rsidRPr="00E1727E" w:rsidRDefault="00352252" w:rsidP="00E1727E">
            <w:r w:rsidRPr="003D3074">
              <w:rPr>
                <w:b/>
                <w:bCs/>
                <w:smallCaps/>
              </w:rPr>
              <w:t>Summary of Legislation</w:t>
            </w:r>
            <w:r w:rsidR="00B70870" w:rsidRPr="003D3074">
              <w:rPr>
                <w:b/>
                <w:bCs/>
                <w:smallCaps/>
              </w:rPr>
              <w:t>:</w:t>
            </w:r>
            <w:r w:rsidR="00AA421B">
              <w:rPr>
                <w:b/>
                <w:bCs/>
                <w:smallCaps/>
              </w:rPr>
              <w:t xml:space="preserve"> </w:t>
            </w:r>
            <w:r w:rsidR="00AA421B">
              <w:t>Proposed Int. No.</w:t>
            </w:r>
            <w:r w:rsidR="0062319A">
              <w:t>1</w:t>
            </w:r>
            <w:r w:rsidR="003D3AB1">
              <w:t>259</w:t>
            </w:r>
            <w:r w:rsidR="0062319A">
              <w:t>-A</w:t>
            </w:r>
            <w:r w:rsidR="00E228A2">
              <w:t xml:space="preserve"> would </w:t>
            </w:r>
            <w:r w:rsidR="00E1727E" w:rsidRPr="00E1727E">
              <w:t xml:space="preserve">add actual or perceived uniformed service as a protected status under the </w:t>
            </w:r>
            <w:r w:rsidR="00E1727E">
              <w:t>New York City Human Rights Law (</w:t>
            </w:r>
            <w:r w:rsidR="00E1727E" w:rsidRPr="00E1727E">
              <w:t>HRL</w:t>
            </w:r>
            <w:r w:rsidR="00E1727E">
              <w:t>)</w:t>
            </w:r>
            <w:r w:rsidR="00E1727E" w:rsidRPr="00E1727E">
              <w:t>.</w:t>
            </w:r>
            <w:r w:rsidR="0092412E">
              <w:t xml:space="preserve"> </w:t>
            </w:r>
            <w:proofErr w:type="gramStart"/>
            <w:r w:rsidR="0092412E">
              <w:t xml:space="preserve">The term, “uniformed service” means, </w:t>
            </w:r>
            <w:r w:rsidR="00E1727E" w:rsidRPr="00E1727E">
              <w:t xml:space="preserve"> current or prior service in the United States Army, Navy, Air Force, Marine Corps, Coast Guard, the Commissioned Corps of the National Oceanic and Atmospheric Administration, the Commissioned Corps of the United States Public Health Services, the Army and Air National Guard, the organized militia of the state of New York or the organized militia of any other state, territory or possession of the United States, membership in any reserve component of the United States Army, Navy, Air Force, Marine Corps, or Coast Guard, or being listed on the state reserve list or the state retired list or comparable status for any other state, territory or possession of the United States.</w:t>
            </w:r>
            <w:proofErr w:type="gramEnd"/>
            <w:r w:rsidR="00E1727E" w:rsidRPr="00E1727E">
              <w:t xml:space="preserve">   </w:t>
            </w:r>
          </w:p>
          <w:p w:rsidR="001D3C9D" w:rsidRPr="00326FF1" w:rsidRDefault="001D3C9D" w:rsidP="003D3074">
            <w:pPr>
              <w:shd w:val="clear" w:color="auto" w:fill="FFFFFF"/>
            </w:pPr>
          </w:p>
        </w:tc>
      </w:tr>
      <w:tr w:rsidR="00352252" w:rsidTr="009E4362">
        <w:trPr>
          <w:cantSplit/>
          <w:trHeight w:val="324"/>
          <w:jc w:val="center"/>
        </w:trPr>
        <w:tc>
          <w:tcPr>
            <w:tcW w:w="10818" w:type="dxa"/>
            <w:gridSpan w:val="2"/>
          </w:tcPr>
          <w:p w:rsidR="00F25AA7" w:rsidRPr="00326FF1" w:rsidRDefault="00352252" w:rsidP="009657CF">
            <w:pPr>
              <w:shd w:val="clear" w:color="auto" w:fill="FFFFFF"/>
              <w:rPr>
                <w:rFonts w:eastAsia="Calibri"/>
                <w:color w:val="000000"/>
              </w:rPr>
            </w:pPr>
            <w:r w:rsidRPr="00326FF1">
              <w:rPr>
                <w:b/>
                <w:bCs/>
                <w:smallCaps/>
              </w:rPr>
              <w:t>Effective Date:</w:t>
            </w:r>
            <w:r w:rsidR="00AA6BEF" w:rsidRPr="00326FF1">
              <w:rPr>
                <w:b/>
                <w:bCs/>
                <w:smallCaps/>
              </w:rPr>
              <w:t xml:space="preserve"> </w:t>
            </w:r>
            <w:r w:rsidR="006B51CE">
              <w:t>This local law</w:t>
            </w:r>
            <w:r w:rsidR="003D2A99">
              <w:t xml:space="preserve"> would</w:t>
            </w:r>
            <w:r w:rsidR="006B51CE" w:rsidRPr="006B51CE">
              <w:t xml:space="preserve"> take effect </w:t>
            </w:r>
            <w:r w:rsidR="00E1727E">
              <w:t>120 days after enactment into law</w:t>
            </w:r>
            <w:r w:rsidR="00466862">
              <w:t>.</w:t>
            </w:r>
          </w:p>
          <w:p w:rsidR="009657CF" w:rsidRPr="00326FF1" w:rsidRDefault="009657CF" w:rsidP="009657CF">
            <w:pPr>
              <w:shd w:val="clear" w:color="auto" w:fill="FFFFFF"/>
              <w:rPr>
                <w:bCs/>
              </w:rPr>
            </w:pPr>
          </w:p>
        </w:tc>
      </w:tr>
      <w:tr w:rsidR="00352252" w:rsidTr="009E4362">
        <w:trPr>
          <w:cantSplit/>
          <w:trHeight w:val="576"/>
          <w:jc w:val="center"/>
        </w:trPr>
        <w:tc>
          <w:tcPr>
            <w:tcW w:w="10818" w:type="dxa"/>
            <w:gridSpan w:val="2"/>
            <w:tcBorders>
              <w:bottom w:val="single" w:sz="6" w:space="0" w:color="auto"/>
            </w:tcBorders>
          </w:tcPr>
          <w:p w:rsidR="005D31BB" w:rsidRPr="00326FF1" w:rsidRDefault="00352252" w:rsidP="00DE6E42">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326FF1">
              <w:rPr>
                <w:bCs/>
                <w:smallCaps/>
              </w:rPr>
              <w:t>F</w:t>
            </w:r>
            <w:r w:rsidR="00755FF0">
              <w:t>iscal</w:t>
            </w:r>
            <w:r w:rsidR="00755FF0">
              <w:rPr>
                <w:bCs/>
                <w:smallCaps/>
              </w:rPr>
              <w:t xml:space="preserve"> </w:t>
            </w:r>
            <w:r w:rsidR="005D31BB" w:rsidRPr="00326FF1">
              <w:rPr>
                <w:bCs/>
                <w:smallCaps/>
              </w:rPr>
              <w:t>201</w:t>
            </w:r>
            <w:r w:rsidR="00755FF0">
              <w:rPr>
                <w:bCs/>
                <w:smallCaps/>
              </w:rPr>
              <w:t>8</w:t>
            </w:r>
          </w:p>
        </w:tc>
      </w:tr>
      <w:tr w:rsidR="00352252" w:rsidTr="00E74CFA">
        <w:trPr>
          <w:cantSplit/>
          <w:trHeight w:val="1839"/>
          <w:jc w:val="center"/>
        </w:trPr>
        <w:tc>
          <w:tcPr>
            <w:tcW w:w="10818" w:type="dxa"/>
            <w:gridSpan w:val="2"/>
            <w:tcBorders>
              <w:top w:val="single" w:sz="6" w:space="0" w:color="auto"/>
            </w:tcBorders>
          </w:tcPr>
          <w:p w:rsidR="00466862" w:rsidRDefault="00352252">
            <w:pPr>
              <w:rPr>
                <w:b/>
                <w:bCs/>
                <w:smallCaps/>
              </w:rPr>
            </w:pPr>
            <w:r>
              <w:rPr>
                <w:b/>
                <w:bCs/>
                <w:smallCaps/>
              </w:rPr>
              <w:t>Fiscal Impact Statement:</w:t>
            </w:r>
            <w:r w:rsidR="00AA6BEF">
              <w:rPr>
                <w:b/>
                <w:bCs/>
                <w:smallCaps/>
              </w:rPr>
              <w:t xml:space="preserve"> </w:t>
            </w: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rsidTr="00251BB3">
              <w:trPr>
                <w:jc w:val="center"/>
              </w:trPr>
              <w:tc>
                <w:tcPr>
                  <w:tcW w:w="1995" w:type="dxa"/>
                  <w:tcBorders>
                    <w:top w:val="double" w:sz="7" w:space="0" w:color="000000"/>
                    <w:left w:val="double" w:sz="7" w:space="0" w:color="000000"/>
                    <w:bottom w:val="single" w:sz="6" w:space="0" w:color="FFFFFF"/>
                    <w:right w:val="single" w:sz="6" w:space="0" w:color="FFFFFF"/>
                  </w:tcBorders>
                </w:tcPr>
                <w:p w:rsidR="00352252" w:rsidRPr="00542556" w:rsidRDefault="00352252">
                  <w:pPr>
                    <w:spacing w:line="201" w:lineRule="exact"/>
                    <w:jc w:val="center"/>
                    <w:rPr>
                      <w:sz w:val="18"/>
                      <w:szCs w:val="18"/>
                    </w:rPr>
                  </w:pPr>
                </w:p>
                <w:p w:rsidR="00352252" w:rsidRPr="00542556" w:rsidRDefault="0035225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rsidR="00352252" w:rsidRPr="00542556" w:rsidRDefault="00DB057D" w:rsidP="009657CF">
                  <w:pPr>
                    <w:jc w:val="center"/>
                    <w:rPr>
                      <w:b/>
                      <w:bCs/>
                      <w:sz w:val="18"/>
                      <w:szCs w:val="18"/>
                    </w:rPr>
                  </w:pPr>
                  <w:r w:rsidRPr="00542556">
                    <w:rPr>
                      <w:b/>
                      <w:bCs/>
                      <w:sz w:val="18"/>
                      <w:szCs w:val="18"/>
                    </w:rPr>
                    <w:t>Effective FY</w:t>
                  </w:r>
                  <w:r w:rsidR="008D79B4" w:rsidRPr="00542556">
                    <w:rPr>
                      <w:b/>
                      <w:bCs/>
                      <w:sz w:val="18"/>
                      <w:szCs w:val="18"/>
                    </w:rPr>
                    <w:t>1</w:t>
                  </w:r>
                  <w:r w:rsidR="00DB23D9">
                    <w:rPr>
                      <w:b/>
                      <w:bCs/>
                      <w:sz w:val="18"/>
                      <w:szCs w:val="18"/>
                    </w:rPr>
                    <w:t>8</w:t>
                  </w:r>
                </w:p>
              </w:tc>
              <w:tc>
                <w:tcPr>
                  <w:tcW w:w="2083" w:type="dxa"/>
                  <w:tcBorders>
                    <w:top w:val="double" w:sz="7" w:space="0" w:color="000000"/>
                    <w:left w:val="single" w:sz="7" w:space="0" w:color="000000"/>
                    <w:bottom w:val="single" w:sz="6" w:space="0" w:color="FFFFFF"/>
                    <w:right w:val="single" w:sz="6" w:space="0" w:color="FFFFFF"/>
                  </w:tcBorders>
                </w:tcPr>
                <w:p w:rsidR="00352252" w:rsidRPr="00542556" w:rsidRDefault="00352252">
                  <w:pPr>
                    <w:jc w:val="center"/>
                    <w:rPr>
                      <w:b/>
                      <w:bCs/>
                      <w:sz w:val="18"/>
                      <w:szCs w:val="18"/>
                    </w:rPr>
                  </w:pPr>
                  <w:r w:rsidRPr="00542556">
                    <w:rPr>
                      <w:b/>
                      <w:bCs/>
                      <w:sz w:val="18"/>
                      <w:szCs w:val="18"/>
                    </w:rPr>
                    <w:t>FY Succeeding</w:t>
                  </w:r>
                </w:p>
                <w:p w:rsidR="00352252" w:rsidRPr="00542556" w:rsidRDefault="00DB057D" w:rsidP="009657CF">
                  <w:pPr>
                    <w:jc w:val="center"/>
                    <w:rPr>
                      <w:b/>
                      <w:bCs/>
                      <w:sz w:val="18"/>
                      <w:szCs w:val="18"/>
                    </w:rPr>
                  </w:pPr>
                  <w:r w:rsidRPr="00542556">
                    <w:rPr>
                      <w:b/>
                      <w:bCs/>
                      <w:sz w:val="18"/>
                      <w:szCs w:val="18"/>
                    </w:rPr>
                    <w:t>Effective FY1</w:t>
                  </w:r>
                  <w:r w:rsidR="00DB23D9">
                    <w:rPr>
                      <w:b/>
                      <w:bCs/>
                      <w:sz w:val="18"/>
                      <w:szCs w:val="18"/>
                    </w:rPr>
                    <w:t>9</w:t>
                  </w:r>
                </w:p>
              </w:tc>
              <w:tc>
                <w:tcPr>
                  <w:tcW w:w="1754" w:type="dxa"/>
                  <w:tcBorders>
                    <w:top w:val="double" w:sz="7" w:space="0" w:color="000000"/>
                    <w:left w:val="single" w:sz="7" w:space="0" w:color="000000"/>
                    <w:bottom w:val="single" w:sz="6" w:space="0" w:color="FFFFFF"/>
                    <w:right w:val="double" w:sz="7" w:space="0" w:color="000000"/>
                  </w:tcBorders>
                </w:tcPr>
                <w:p w:rsidR="00352252" w:rsidRPr="00542556" w:rsidRDefault="00352252">
                  <w:pPr>
                    <w:jc w:val="center"/>
                    <w:rPr>
                      <w:b/>
                      <w:bCs/>
                      <w:sz w:val="18"/>
                      <w:szCs w:val="18"/>
                    </w:rPr>
                  </w:pPr>
                  <w:r w:rsidRPr="00542556">
                    <w:rPr>
                      <w:b/>
                      <w:bCs/>
                      <w:sz w:val="18"/>
                      <w:szCs w:val="18"/>
                    </w:rPr>
                    <w:t>Full Fiscal</w:t>
                  </w:r>
                </w:p>
                <w:p w:rsidR="00352252" w:rsidRPr="00542556" w:rsidRDefault="00DB057D" w:rsidP="00DE6E42">
                  <w:pPr>
                    <w:pStyle w:val="Heading1"/>
                    <w:rPr>
                      <w:sz w:val="18"/>
                      <w:szCs w:val="18"/>
                    </w:rPr>
                  </w:pPr>
                  <w:r w:rsidRPr="00542556">
                    <w:rPr>
                      <w:sz w:val="18"/>
                      <w:szCs w:val="18"/>
                    </w:rPr>
                    <w:t>Impact FY</w:t>
                  </w:r>
                  <w:r w:rsidR="008D79B4" w:rsidRPr="00542556">
                    <w:rPr>
                      <w:sz w:val="18"/>
                      <w:szCs w:val="18"/>
                    </w:rPr>
                    <w:t>1</w:t>
                  </w:r>
                  <w:r w:rsidR="00DB23D9">
                    <w:rPr>
                      <w:sz w:val="18"/>
                      <w:szCs w:val="18"/>
                    </w:rPr>
                    <w:t>9</w:t>
                  </w:r>
                </w:p>
              </w:tc>
            </w:tr>
            <w:tr w:rsidR="00E37241" w:rsidTr="00E37241">
              <w:trPr>
                <w:jc w:val="center"/>
              </w:trPr>
              <w:tc>
                <w:tcPr>
                  <w:tcW w:w="1995" w:type="dxa"/>
                  <w:tcBorders>
                    <w:top w:val="single" w:sz="7" w:space="0" w:color="000000"/>
                    <w:left w:val="double" w:sz="7" w:space="0" w:color="000000"/>
                    <w:bottom w:val="single" w:sz="6" w:space="0" w:color="FFFFFF"/>
                    <w:right w:val="single" w:sz="6" w:space="0" w:color="FFFFFF"/>
                  </w:tcBorders>
                </w:tcPr>
                <w:p w:rsidR="00E37241" w:rsidRPr="00542556" w:rsidRDefault="00E37241" w:rsidP="00E37241">
                  <w:pPr>
                    <w:spacing w:line="163" w:lineRule="exact"/>
                    <w:jc w:val="center"/>
                    <w:rPr>
                      <w:b/>
                      <w:bCs/>
                      <w:sz w:val="18"/>
                      <w:szCs w:val="18"/>
                    </w:rPr>
                  </w:pPr>
                </w:p>
                <w:p w:rsidR="00E37241" w:rsidRPr="00542556" w:rsidRDefault="00E37241" w:rsidP="00E37241">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rsidR="00E37241" w:rsidRPr="00542556" w:rsidRDefault="00E37241" w:rsidP="00E37241">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rsidR="00E37241" w:rsidRDefault="00E37241" w:rsidP="00E37241">
                  <w:pPr>
                    <w:jc w:val="center"/>
                  </w:pPr>
                  <w:r w:rsidRPr="005C6B16">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E37241" w:rsidRDefault="00E37241" w:rsidP="00E37241">
                  <w:pPr>
                    <w:jc w:val="center"/>
                  </w:pPr>
                  <w:r w:rsidRPr="005C6B16">
                    <w:rPr>
                      <w:b/>
                      <w:bCs/>
                      <w:sz w:val="18"/>
                      <w:szCs w:val="18"/>
                    </w:rPr>
                    <w:t>$0</w:t>
                  </w:r>
                </w:p>
              </w:tc>
            </w:tr>
            <w:tr w:rsidR="00E37241" w:rsidTr="00E37241">
              <w:trPr>
                <w:jc w:val="center"/>
              </w:trPr>
              <w:tc>
                <w:tcPr>
                  <w:tcW w:w="1995" w:type="dxa"/>
                  <w:tcBorders>
                    <w:top w:val="single" w:sz="7" w:space="0" w:color="000000"/>
                    <w:left w:val="double" w:sz="7" w:space="0" w:color="000000"/>
                    <w:bottom w:val="single" w:sz="6" w:space="0" w:color="FFFFFF"/>
                    <w:right w:val="single" w:sz="6" w:space="0" w:color="FFFFFF"/>
                  </w:tcBorders>
                </w:tcPr>
                <w:p w:rsidR="00E37241" w:rsidRPr="00542556" w:rsidRDefault="00E37241" w:rsidP="00E37241">
                  <w:pPr>
                    <w:spacing w:line="163" w:lineRule="exact"/>
                    <w:jc w:val="center"/>
                    <w:rPr>
                      <w:b/>
                      <w:bCs/>
                      <w:sz w:val="18"/>
                      <w:szCs w:val="18"/>
                    </w:rPr>
                  </w:pPr>
                </w:p>
                <w:p w:rsidR="00E37241" w:rsidRPr="00542556" w:rsidRDefault="00E37241" w:rsidP="00E37241">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rsidR="00E37241" w:rsidRDefault="00E37241" w:rsidP="00E37241">
                  <w:pPr>
                    <w:jc w:val="center"/>
                  </w:pPr>
                  <w:r w:rsidRPr="00BD2ADA">
                    <w:rPr>
                      <w:b/>
                      <w:bCs/>
                      <w:sz w:val="18"/>
                      <w:szCs w:val="18"/>
                    </w:rPr>
                    <w:t>$</w:t>
                  </w:r>
                  <w:r w:rsidR="006B51CE">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rsidR="00E37241" w:rsidRDefault="006B51CE" w:rsidP="00E37241">
                  <w:pPr>
                    <w:jc w:val="center"/>
                  </w:pPr>
                  <w:r>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E37241" w:rsidRDefault="00E37241" w:rsidP="00E37241">
                  <w:pPr>
                    <w:jc w:val="center"/>
                  </w:pPr>
                  <w:r w:rsidRPr="00BD2ADA">
                    <w:rPr>
                      <w:b/>
                      <w:bCs/>
                      <w:sz w:val="18"/>
                      <w:szCs w:val="18"/>
                    </w:rPr>
                    <w:t>$</w:t>
                  </w:r>
                  <w:r w:rsidR="006B51CE">
                    <w:rPr>
                      <w:b/>
                      <w:bCs/>
                      <w:sz w:val="18"/>
                      <w:szCs w:val="18"/>
                    </w:rPr>
                    <w:t>0</w:t>
                  </w:r>
                </w:p>
              </w:tc>
            </w:tr>
            <w:tr w:rsidR="00E37241" w:rsidTr="00E37241">
              <w:trPr>
                <w:jc w:val="center"/>
              </w:trPr>
              <w:tc>
                <w:tcPr>
                  <w:tcW w:w="1995" w:type="dxa"/>
                  <w:tcBorders>
                    <w:top w:val="single" w:sz="7" w:space="0" w:color="000000"/>
                    <w:left w:val="double" w:sz="7" w:space="0" w:color="000000"/>
                    <w:bottom w:val="single" w:sz="7" w:space="0" w:color="000000"/>
                    <w:right w:val="single" w:sz="6" w:space="0" w:color="FFFFFF"/>
                  </w:tcBorders>
                </w:tcPr>
                <w:p w:rsidR="00E37241" w:rsidRPr="00542556" w:rsidRDefault="00E37241" w:rsidP="00E37241">
                  <w:pPr>
                    <w:spacing w:line="163" w:lineRule="exact"/>
                    <w:jc w:val="center"/>
                    <w:rPr>
                      <w:b/>
                      <w:bCs/>
                      <w:sz w:val="18"/>
                      <w:szCs w:val="18"/>
                    </w:rPr>
                  </w:pPr>
                </w:p>
                <w:p w:rsidR="00E37241" w:rsidRPr="00542556" w:rsidRDefault="00E37241">
                  <w:pPr>
                    <w:spacing w:after="58"/>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rsidR="00E37241" w:rsidRDefault="00E37241" w:rsidP="00E37241">
                  <w:pPr>
                    <w:jc w:val="center"/>
                  </w:pPr>
                  <w:r w:rsidRPr="00C066CC">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rsidR="00E37241" w:rsidRDefault="00E37241" w:rsidP="00E37241">
                  <w:pPr>
                    <w:jc w:val="center"/>
                  </w:pPr>
                  <w:r w:rsidRPr="00C066CC">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rsidR="00E37241" w:rsidRDefault="00E37241" w:rsidP="00E37241">
                  <w:pPr>
                    <w:jc w:val="center"/>
                  </w:pPr>
                  <w:r w:rsidRPr="00C066CC">
                    <w:rPr>
                      <w:b/>
                      <w:bCs/>
                      <w:sz w:val="18"/>
                      <w:szCs w:val="18"/>
                    </w:rPr>
                    <w:t>$0</w:t>
                  </w:r>
                </w:p>
              </w:tc>
            </w:tr>
          </w:tbl>
          <w:p w:rsidR="00352252" w:rsidRDefault="00352252" w:rsidP="00E37241"/>
        </w:tc>
      </w:tr>
      <w:tr w:rsidR="00352252" w:rsidRPr="00840B00" w:rsidTr="00A564C0">
        <w:trPr>
          <w:trHeight w:val="873"/>
          <w:jc w:val="center"/>
        </w:trPr>
        <w:tc>
          <w:tcPr>
            <w:tcW w:w="10818" w:type="dxa"/>
            <w:gridSpan w:val="2"/>
            <w:vAlign w:val="center"/>
          </w:tcPr>
          <w:p w:rsidR="001028F7" w:rsidRPr="00840B00" w:rsidRDefault="001028F7" w:rsidP="007F2187">
            <w:pPr>
              <w:jc w:val="left"/>
              <w:rPr>
                <w:b/>
                <w:bCs/>
                <w:smallCaps/>
                <w:sz w:val="22"/>
                <w:szCs w:val="22"/>
              </w:rPr>
            </w:pPr>
          </w:p>
          <w:p w:rsidR="00FE1D08" w:rsidRPr="00A564C0" w:rsidRDefault="00352252" w:rsidP="009A767B">
            <w:pPr>
              <w:pBdr>
                <w:top w:val="single" w:sz="4" w:space="1" w:color="auto"/>
              </w:pBdr>
            </w:pPr>
            <w:r w:rsidRPr="00EC30EE">
              <w:rPr>
                <w:b/>
                <w:bCs/>
                <w:smallCaps/>
              </w:rPr>
              <w:t>Impact on Revenues</w:t>
            </w:r>
            <w:r w:rsidRPr="00EC30EE">
              <w:rPr>
                <w:b/>
                <w:bCs/>
              </w:rPr>
              <w:t>:</w:t>
            </w:r>
            <w:r w:rsidRPr="00EC30EE">
              <w:t xml:space="preserve"> </w:t>
            </w:r>
            <w:r w:rsidR="009A767B">
              <w:t xml:space="preserve">It </w:t>
            </w:r>
            <w:proofErr w:type="gramStart"/>
            <w:r w:rsidR="009A767B">
              <w:t>is estimated</w:t>
            </w:r>
            <w:proofErr w:type="gramEnd"/>
            <w:r w:rsidR="009A767B">
              <w:t xml:space="preserve"> that there would be no impact on revenues resulting from the enactment of this legislation.</w:t>
            </w:r>
          </w:p>
        </w:tc>
      </w:tr>
      <w:tr w:rsidR="00352252" w:rsidRPr="00EC30EE" w:rsidTr="00C87D5E">
        <w:trPr>
          <w:jc w:val="center"/>
        </w:trPr>
        <w:tc>
          <w:tcPr>
            <w:tcW w:w="10818" w:type="dxa"/>
            <w:gridSpan w:val="2"/>
          </w:tcPr>
          <w:p w:rsidR="0098002D" w:rsidRPr="00EC30EE" w:rsidRDefault="00352252" w:rsidP="006309C5">
            <w:r w:rsidRPr="00DD5EAA">
              <w:rPr>
                <w:b/>
                <w:bCs/>
                <w:smallCaps/>
              </w:rPr>
              <w:t>Impact on Expenditures</w:t>
            </w:r>
            <w:r w:rsidRPr="00DD5EAA">
              <w:rPr>
                <w:b/>
                <w:bCs/>
              </w:rPr>
              <w:t>:</w:t>
            </w:r>
            <w:r w:rsidR="00025E35" w:rsidRPr="00DD5EAA">
              <w:t xml:space="preserve"> </w:t>
            </w:r>
            <w:r w:rsidR="009A767B" w:rsidRPr="00DD5EAA">
              <w:t xml:space="preserve">It </w:t>
            </w:r>
            <w:proofErr w:type="gramStart"/>
            <w:r w:rsidR="009A767B" w:rsidRPr="00DD5EAA">
              <w:t>is estimated</w:t>
            </w:r>
            <w:proofErr w:type="gramEnd"/>
            <w:r w:rsidR="009A767B" w:rsidRPr="00DD5EAA">
              <w:t xml:space="preserve"> that </w:t>
            </w:r>
            <w:r w:rsidR="009644EE" w:rsidRPr="00DD5EAA">
              <w:t xml:space="preserve">this proposed legislation would have </w:t>
            </w:r>
            <w:r w:rsidR="00DB23D9" w:rsidRPr="00DD5EAA">
              <w:t>no impact</w:t>
            </w:r>
            <w:r w:rsidR="009A767B" w:rsidRPr="00DD5EAA">
              <w:t xml:space="preserve"> on expenditures and </w:t>
            </w:r>
            <w:r w:rsidR="009644EE" w:rsidRPr="00DD5EAA">
              <w:t xml:space="preserve">that </w:t>
            </w:r>
            <w:r w:rsidR="009A767B" w:rsidRPr="00DD5EAA">
              <w:t xml:space="preserve">existing resources </w:t>
            </w:r>
            <w:r w:rsidR="006309C5">
              <w:t>within the agency could be used</w:t>
            </w:r>
            <w:r w:rsidR="009A767B" w:rsidRPr="00DD5EAA">
              <w:t xml:space="preserve"> to implement the requirements of the legislation. </w:t>
            </w:r>
            <w:r w:rsidR="006309C5">
              <w:t>Th</w:t>
            </w:r>
            <w:r w:rsidR="009A767B" w:rsidRPr="00DD5EAA">
              <w:t xml:space="preserve">e </w:t>
            </w:r>
            <w:r w:rsidR="00411F21" w:rsidRPr="00DD5EAA">
              <w:t>Commission on Human Rights</w:t>
            </w:r>
            <w:r w:rsidR="009A767B" w:rsidRPr="00DD5EAA">
              <w:t xml:space="preserve"> has indicated that it </w:t>
            </w:r>
            <w:r w:rsidR="009644EE" w:rsidRPr="00DD5EAA">
              <w:t>would</w:t>
            </w:r>
            <w:r w:rsidR="006309C5">
              <w:t xml:space="preserve"> cost approximately</w:t>
            </w:r>
            <w:r w:rsidR="0092412E">
              <w:t xml:space="preserve"> $5,000 </w:t>
            </w:r>
            <w:r w:rsidR="00DD5EAA">
              <w:t>to</w:t>
            </w:r>
            <w:r w:rsidR="0092412E">
              <w:t xml:space="preserve"> develop </w:t>
            </w:r>
            <w:r w:rsidR="006309C5">
              <w:t xml:space="preserve">outreach materials for a </w:t>
            </w:r>
            <w:r w:rsidR="0092412E">
              <w:t>Know Your Rights document</w:t>
            </w:r>
            <w:r w:rsidR="0092412E" w:rsidRPr="0092412E">
              <w:t>, a Know Your Obligations doc</w:t>
            </w:r>
            <w:r w:rsidR="0092412E">
              <w:t>ument</w:t>
            </w:r>
            <w:r w:rsidR="0092412E" w:rsidRPr="0092412E">
              <w:t>, and</w:t>
            </w:r>
            <w:r w:rsidR="00A564C0">
              <w:t xml:space="preserve"> a</w:t>
            </w:r>
            <w:r w:rsidR="0092412E" w:rsidRPr="0092412E">
              <w:t xml:space="preserve"> </w:t>
            </w:r>
            <w:r w:rsidR="0092412E">
              <w:t xml:space="preserve">frequently asked </w:t>
            </w:r>
            <w:r w:rsidR="00A564C0">
              <w:t>questions document</w:t>
            </w:r>
            <w:r w:rsidR="0092412E">
              <w:t xml:space="preserve"> </w:t>
            </w:r>
            <w:r w:rsidR="006309C5">
              <w:t>in 10 languages.</w:t>
            </w:r>
          </w:p>
        </w:tc>
      </w:tr>
      <w:tr w:rsidR="00352252" w:rsidRPr="00EC30EE" w:rsidTr="00C87D5E">
        <w:trPr>
          <w:jc w:val="center"/>
        </w:trPr>
        <w:tc>
          <w:tcPr>
            <w:tcW w:w="10818" w:type="dxa"/>
            <w:gridSpan w:val="2"/>
          </w:tcPr>
          <w:p w:rsidR="003C1ABB" w:rsidRPr="00EC30EE" w:rsidRDefault="00352252" w:rsidP="005F1EA8">
            <w:pPr>
              <w:tabs>
                <w:tab w:val="left" w:pos="8670"/>
              </w:tabs>
            </w:pPr>
            <w:r w:rsidRPr="00EC30EE">
              <w:rPr>
                <w:b/>
                <w:bCs/>
                <w:smallCaps/>
              </w:rPr>
              <w:t>Source of Funds To Cover Estimated Costs</w:t>
            </w:r>
            <w:r w:rsidR="003A3DE9" w:rsidRPr="00EC30EE">
              <w:rPr>
                <w:b/>
                <w:bCs/>
              </w:rPr>
              <w:t>:</w:t>
            </w:r>
            <w:r w:rsidR="005D31BB" w:rsidRPr="00EC30EE">
              <w:rPr>
                <w:b/>
                <w:bCs/>
              </w:rPr>
              <w:t xml:space="preserve"> </w:t>
            </w:r>
            <w:r w:rsidR="00350D0F">
              <w:rPr>
                <w:bCs/>
              </w:rPr>
              <w:t>N/A</w:t>
            </w:r>
            <w:r w:rsidR="005F1EA8">
              <w:rPr>
                <w:bCs/>
              </w:rPr>
              <w:tab/>
            </w:r>
          </w:p>
          <w:p w:rsidR="00EB5A53" w:rsidRPr="00EC30EE" w:rsidRDefault="00EB5A53" w:rsidP="00E203BF"/>
        </w:tc>
      </w:tr>
      <w:tr w:rsidR="00352252" w:rsidRPr="00EC30EE" w:rsidTr="00C87D5E">
        <w:trPr>
          <w:trHeight w:val="693"/>
          <w:jc w:val="center"/>
        </w:trPr>
        <w:tc>
          <w:tcPr>
            <w:tcW w:w="10818" w:type="dxa"/>
            <w:gridSpan w:val="2"/>
          </w:tcPr>
          <w:p w:rsidR="00325A26" w:rsidRDefault="00352252" w:rsidP="00325A26">
            <w:r w:rsidRPr="00EC30EE">
              <w:rPr>
                <w:b/>
                <w:bCs/>
                <w:smallCaps/>
              </w:rPr>
              <w:t>Source of Information</w:t>
            </w:r>
            <w:r w:rsidRPr="00EC30EE">
              <w:rPr>
                <w:b/>
                <w:bCs/>
              </w:rPr>
              <w:t>:</w:t>
            </w:r>
            <w:r w:rsidR="00A564C0">
              <w:rPr>
                <w:b/>
                <w:bCs/>
              </w:rPr>
              <w:t xml:space="preserve">   </w:t>
            </w:r>
            <w:r w:rsidR="005D31BB" w:rsidRPr="00EC30EE">
              <w:t>N</w:t>
            </w:r>
            <w:r w:rsidR="0058026D">
              <w:t xml:space="preserve">ew </w:t>
            </w:r>
            <w:r w:rsidR="005D31BB" w:rsidRPr="00EC30EE">
              <w:t>Y</w:t>
            </w:r>
            <w:r w:rsidR="0058026D">
              <w:t xml:space="preserve">ork </w:t>
            </w:r>
            <w:r w:rsidR="005D31BB" w:rsidRPr="00EC30EE">
              <w:t>C</w:t>
            </w:r>
            <w:r w:rsidR="0058026D">
              <w:t>ity</w:t>
            </w:r>
            <w:r w:rsidR="005D31BB" w:rsidRPr="00EC30EE">
              <w:t xml:space="preserve"> Council Finance Division</w:t>
            </w:r>
          </w:p>
          <w:p w:rsidR="00350D0F" w:rsidRDefault="00350D0F" w:rsidP="00325A26">
            <w:r>
              <w:t xml:space="preserve">                                           </w:t>
            </w:r>
            <w:r w:rsidR="005F1EA8">
              <w:tab/>
            </w:r>
            <w:r w:rsidR="00E05743">
              <w:t xml:space="preserve">New York City </w:t>
            </w:r>
            <w:r w:rsidR="00A564C0">
              <w:t>Commission on Human Rights</w:t>
            </w:r>
          </w:p>
          <w:p w:rsidR="00B90CA7" w:rsidRPr="00EC30EE" w:rsidRDefault="005F1EA8" w:rsidP="005F1EA8">
            <w:pPr>
              <w:tabs>
                <w:tab w:val="left" w:pos="1965"/>
              </w:tabs>
            </w:pPr>
            <w:r>
              <w:tab/>
            </w:r>
          </w:p>
        </w:tc>
      </w:tr>
      <w:tr w:rsidR="00352252" w:rsidRPr="00EC30EE" w:rsidTr="00C87D5E">
        <w:trPr>
          <w:jc w:val="center"/>
        </w:trPr>
        <w:tc>
          <w:tcPr>
            <w:tcW w:w="10818" w:type="dxa"/>
            <w:gridSpan w:val="2"/>
          </w:tcPr>
          <w:p w:rsidR="005D31BB" w:rsidRPr="00EC30EE" w:rsidRDefault="00352252" w:rsidP="00E05743">
            <w:pPr>
              <w:tabs>
                <w:tab w:val="left" w:pos="2775"/>
              </w:tabs>
            </w:pPr>
            <w:r w:rsidRPr="00EC30EE">
              <w:rPr>
                <w:b/>
                <w:bCs/>
                <w:smallCaps/>
              </w:rPr>
              <w:lastRenderedPageBreak/>
              <w:t>Estimate Prepared By</w:t>
            </w:r>
            <w:r w:rsidRPr="00EC30EE">
              <w:rPr>
                <w:smallCaps/>
              </w:rPr>
              <w:t xml:space="preserve">: </w:t>
            </w:r>
            <w:r w:rsidR="005D31BB" w:rsidRPr="00EC30EE">
              <w:rPr>
                <w:smallCaps/>
              </w:rPr>
              <w:t xml:space="preserve">   </w:t>
            </w:r>
            <w:r w:rsidR="008F3DD5">
              <w:t xml:space="preserve">Sheila </w:t>
            </w:r>
            <w:r w:rsidR="007158C4">
              <w:t xml:space="preserve">D. </w:t>
            </w:r>
            <w:r w:rsidR="00E05743">
              <w:t xml:space="preserve">Johnson, </w:t>
            </w:r>
            <w:r w:rsidR="00350D0F">
              <w:t>Financial Analyst</w:t>
            </w:r>
          </w:p>
          <w:p w:rsidR="009B0F5C" w:rsidRPr="00EC30EE" w:rsidRDefault="00E74CFA" w:rsidP="009B0F5C">
            <w:pPr>
              <w:tabs>
                <w:tab w:val="left" w:pos="2895"/>
              </w:tabs>
            </w:pPr>
            <w:r w:rsidRPr="00EC30EE">
              <w:t xml:space="preserve"> </w:t>
            </w:r>
            <w:r w:rsidR="005D31BB" w:rsidRPr="00EC30EE">
              <w:t xml:space="preserve">                                             </w:t>
            </w:r>
          </w:p>
          <w:p w:rsidR="00B90CA7" w:rsidRDefault="00D273DC" w:rsidP="005F1EA8">
            <w:pPr>
              <w:tabs>
                <w:tab w:val="left" w:pos="2685"/>
              </w:tabs>
              <w:jc w:val="left"/>
            </w:pPr>
            <w:r w:rsidRPr="00EC30EE">
              <w:rPr>
                <w:b/>
                <w:smallCaps/>
              </w:rPr>
              <w:t>Estimate Reviewed By:</w:t>
            </w:r>
            <w:r w:rsidR="00326FF1" w:rsidRPr="00EC30EE">
              <w:rPr>
                <w:b/>
                <w:smallCaps/>
              </w:rPr>
              <w:t xml:space="preserve"> </w:t>
            </w:r>
            <w:r w:rsidR="00EC30EE">
              <w:rPr>
                <w:b/>
                <w:smallCaps/>
              </w:rPr>
              <w:t xml:space="preserve"> </w:t>
            </w:r>
            <w:r w:rsidR="006B51CE">
              <w:t xml:space="preserve"> </w:t>
            </w:r>
            <w:r w:rsidR="005F1EA8">
              <w:t xml:space="preserve">Regina Poreda Ryan, </w:t>
            </w:r>
            <w:r w:rsidR="00E05743">
              <w:t>Deputy Director</w:t>
            </w:r>
            <w:r w:rsidR="00350D0F">
              <w:t xml:space="preserve"> </w:t>
            </w:r>
          </w:p>
          <w:p w:rsidR="0080757E" w:rsidRDefault="00B90CA7" w:rsidP="005F1EA8">
            <w:pPr>
              <w:tabs>
                <w:tab w:val="left" w:pos="2775"/>
              </w:tabs>
            </w:pPr>
            <w:r>
              <w:t xml:space="preserve">                                        </w:t>
            </w:r>
            <w:r w:rsidR="005F1EA8">
              <w:tab/>
              <w:t>Eric Bernstein</w:t>
            </w:r>
            <w:r w:rsidR="00326FF1" w:rsidRPr="00EC30EE">
              <w:t>, Counsel</w:t>
            </w:r>
          </w:p>
          <w:p w:rsidR="008B215E" w:rsidRDefault="007158C4" w:rsidP="005F1EA8">
            <w:pPr>
              <w:tabs>
                <w:tab w:val="left" w:pos="2775"/>
              </w:tabs>
            </w:pPr>
            <w:r>
              <w:tab/>
            </w:r>
            <w:r w:rsidR="008B215E">
              <w:t>Eisha Wright, Unit Head</w:t>
            </w:r>
          </w:p>
          <w:p w:rsidR="00326FF1" w:rsidRPr="00EC30EE" w:rsidRDefault="00B90CA7" w:rsidP="0098002D">
            <w:r>
              <w:t xml:space="preserve">                                         </w:t>
            </w:r>
          </w:p>
          <w:p w:rsidR="008D3779" w:rsidRPr="00A564C0" w:rsidRDefault="00D273DC" w:rsidP="00A564C0">
            <w:pPr>
              <w:rPr>
                <w:rFonts w:eastAsia="Calibri"/>
              </w:rPr>
            </w:pPr>
            <w:r w:rsidRPr="00EC30EE">
              <w:rPr>
                <w:b/>
                <w:bCs/>
                <w:smallCaps/>
              </w:rPr>
              <w:t xml:space="preserve">Legislative </w:t>
            </w:r>
            <w:r w:rsidR="007A5805" w:rsidRPr="00EC30EE">
              <w:rPr>
                <w:b/>
                <w:bCs/>
                <w:smallCaps/>
              </w:rPr>
              <w:t>History</w:t>
            </w:r>
            <w:r w:rsidR="007A5805" w:rsidRPr="00EC30EE">
              <w:rPr>
                <w:b/>
                <w:bCs/>
              </w:rPr>
              <w:t>:</w:t>
            </w:r>
            <w:r w:rsidR="007A5805" w:rsidRPr="00EC30EE">
              <w:t xml:space="preserve">  </w:t>
            </w:r>
            <w:r w:rsidR="008D3779" w:rsidRPr="00BA5D17">
              <w:t xml:space="preserve">This legislation </w:t>
            </w:r>
            <w:proofErr w:type="gramStart"/>
            <w:r w:rsidR="008D3779" w:rsidRPr="00BA5D17">
              <w:t>was i</w:t>
            </w:r>
            <w:r w:rsidR="00AA421B">
              <w:t>ntroduced as Int</w:t>
            </w:r>
            <w:r w:rsidR="005D01C4">
              <w:t>.</w:t>
            </w:r>
            <w:r w:rsidR="00D82449" w:rsidRPr="00BA5D17">
              <w:t xml:space="preserve"> </w:t>
            </w:r>
            <w:r w:rsidR="008D3779" w:rsidRPr="00BA5D17">
              <w:t>No</w:t>
            </w:r>
            <w:r w:rsidR="005D01C4">
              <w:t>.</w:t>
            </w:r>
            <w:r w:rsidR="008D3779" w:rsidRPr="00BA5D17">
              <w:t xml:space="preserve"> </w:t>
            </w:r>
            <w:r w:rsidR="00E1727E">
              <w:t>1259</w:t>
            </w:r>
            <w:r w:rsidR="00D82449" w:rsidRPr="00BA5D17">
              <w:t xml:space="preserve"> by the Council on </w:t>
            </w:r>
            <w:r w:rsidR="00E1727E">
              <w:t>August 16</w:t>
            </w:r>
            <w:r w:rsidR="00B90CA7">
              <w:t>,</w:t>
            </w:r>
            <w:r w:rsidR="00E81482" w:rsidRPr="00BA5D17">
              <w:t xml:space="preserve"> 201</w:t>
            </w:r>
            <w:r w:rsidR="008147BA">
              <w:t xml:space="preserve">6 </w:t>
            </w:r>
            <w:r w:rsidR="00D82449" w:rsidRPr="00BA5D17">
              <w:t xml:space="preserve">and referred to the Committee on </w:t>
            </w:r>
            <w:r w:rsidR="00E1727E">
              <w:t>Civil Rights</w:t>
            </w:r>
            <w:proofErr w:type="gramEnd"/>
            <w:r w:rsidR="00D82449" w:rsidRPr="00BA5D17">
              <w:t xml:space="preserve">. </w:t>
            </w:r>
            <w:r w:rsidR="00733332">
              <w:t>The Committee</w:t>
            </w:r>
            <w:r w:rsidR="008B215E">
              <w:t xml:space="preserve"> considered the legislation at </w:t>
            </w:r>
            <w:r w:rsidR="00733332">
              <w:t>a</w:t>
            </w:r>
            <w:r w:rsidR="00D82449" w:rsidRPr="00BA5D17">
              <w:t xml:space="preserve"> hearing </w:t>
            </w:r>
            <w:r w:rsidR="008D3779" w:rsidRPr="00BA5D17">
              <w:t xml:space="preserve">on </w:t>
            </w:r>
            <w:r w:rsidR="00E1727E">
              <w:t>April 26</w:t>
            </w:r>
            <w:r w:rsidR="00EC30EE" w:rsidRPr="00BA5D17">
              <w:t>, 201</w:t>
            </w:r>
            <w:r w:rsidR="00E1727E">
              <w:t>7</w:t>
            </w:r>
            <w:r w:rsidR="008D3779" w:rsidRPr="00BA5D17">
              <w:t xml:space="preserve"> </w:t>
            </w:r>
            <w:r w:rsidR="00D82449" w:rsidRPr="00BA5D17">
              <w:t xml:space="preserve">and the legislation </w:t>
            </w:r>
            <w:proofErr w:type="gramStart"/>
            <w:r w:rsidR="00D82449" w:rsidRPr="00BA5D17">
              <w:t>was laid over</w:t>
            </w:r>
            <w:proofErr w:type="gramEnd"/>
            <w:r w:rsidR="00D82449" w:rsidRPr="00BA5D17">
              <w:t xml:space="preserve">. </w:t>
            </w:r>
            <w:r w:rsidR="008F3DD5">
              <w:t xml:space="preserve">Proposed Intro. </w:t>
            </w:r>
            <w:proofErr w:type="gramStart"/>
            <w:r w:rsidR="008F3DD5">
              <w:t xml:space="preserve">No. </w:t>
            </w:r>
            <w:r w:rsidR="008147BA">
              <w:t>1</w:t>
            </w:r>
            <w:r w:rsidR="00E1727E">
              <w:t>259</w:t>
            </w:r>
            <w:r w:rsidR="008F3DD5">
              <w:t>-A</w:t>
            </w:r>
            <w:r w:rsidR="008B215E">
              <w:t>,</w:t>
            </w:r>
            <w:r w:rsidR="008F3DD5">
              <w:t xml:space="preserve"> will be </w:t>
            </w:r>
            <w:r w:rsidR="008B215E">
              <w:t xml:space="preserve">voted on </w:t>
            </w:r>
            <w:r w:rsidR="008F3DD5">
              <w:t>by the Committee</w:t>
            </w:r>
            <w:proofErr w:type="gramEnd"/>
            <w:r w:rsidR="008F3DD5">
              <w:t xml:space="preserve"> on </w:t>
            </w:r>
            <w:r w:rsidR="00F117DB">
              <w:t>June 19</w:t>
            </w:r>
            <w:r w:rsidR="008F3DD5">
              <w:t>, 201</w:t>
            </w:r>
            <w:r w:rsidR="008147BA">
              <w:t>7</w:t>
            </w:r>
            <w:r w:rsidR="008F3DD5">
              <w:t>. </w:t>
            </w:r>
            <w:r w:rsidR="008D3779" w:rsidRPr="00A15BF5">
              <w:t>U</w:t>
            </w:r>
            <w:r w:rsidR="00D82449" w:rsidRPr="00A15BF5">
              <w:t>pon successful vote</w:t>
            </w:r>
            <w:r w:rsidR="008D3779" w:rsidRPr="00A15BF5">
              <w:t xml:space="preserve"> by the Committee</w:t>
            </w:r>
            <w:r w:rsidR="00D82449" w:rsidRPr="00A15BF5">
              <w:t xml:space="preserve">, </w:t>
            </w:r>
            <w:r w:rsidR="008147BA">
              <w:t>Proposed Intro. 1</w:t>
            </w:r>
            <w:r w:rsidR="00E1727E">
              <w:t>259</w:t>
            </w:r>
            <w:r w:rsidR="005E529E">
              <w:t>-</w:t>
            </w:r>
            <w:r w:rsidR="00AF1E24">
              <w:t>A</w:t>
            </w:r>
            <w:r w:rsidR="008D3779" w:rsidRPr="00A15BF5">
              <w:t xml:space="preserve"> will</w:t>
            </w:r>
            <w:r w:rsidR="00D82449" w:rsidRPr="00A15BF5">
              <w:t xml:space="preserve"> be submitted to the full Council for a vote</w:t>
            </w:r>
            <w:r w:rsidR="008D3779" w:rsidRPr="00A15BF5">
              <w:t xml:space="preserve"> on </w:t>
            </w:r>
            <w:r w:rsidR="005D01C4">
              <w:t>June 21</w:t>
            </w:r>
            <w:r w:rsidR="00E81482" w:rsidRPr="008F3DD5">
              <w:t>, 201</w:t>
            </w:r>
            <w:r w:rsidR="008147BA">
              <w:t>7</w:t>
            </w:r>
            <w:r w:rsidR="00D82449" w:rsidRPr="008F3DD5">
              <w:t>.</w:t>
            </w:r>
            <w:r w:rsidR="00D82449" w:rsidRPr="008F3DD5">
              <w:rPr>
                <w:rFonts w:eastAsia="Calibri"/>
              </w:rPr>
              <w:t xml:space="preserve"> </w:t>
            </w:r>
          </w:p>
        </w:tc>
      </w:tr>
      <w:tr w:rsidR="00B90CA7" w:rsidRPr="00EC30EE" w:rsidTr="00C87D5E">
        <w:trPr>
          <w:jc w:val="center"/>
        </w:trPr>
        <w:tc>
          <w:tcPr>
            <w:tcW w:w="10818" w:type="dxa"/>
            <w:gridSpan w:val="2"/>
          </w:tcPr>
          <w:p w:rsidR="00B90CA7" w:rsidRPr="00EC30EE" w:rsidRDefault="00B90CA7" w:rsidP="003A3DE9">
            <w:pPr>
              <w:rPr>
                <w:b/>
                <w:bCs/>
                <w:smallCaps/>
              </w:rPr>
            </w:pPr>
          </w:p>
        </w:tc>
      </w:tr>
    </w:tbl>
    <w:p w:rsidR="00EC522D" w:rsidRDefault="008D3779" w:rsidP="00A37E01">
      <w:pPr>
        <w:rPr>
          <w:b/>
          <w:bCs/>
          <w:smallCaps/>
        </w:rPr>
      </w:pPr>
      <w:r w:rsidRPr="00EC30EE">
        <w:rPr>
          <w:b/>
          <w:bCs/>
          <w:smallCaps/>
        </w:rPr>
        <w:t xml:space="preserve">  Date Prepared:</w:t>
      </w:r>
      <w:r w:rsidR="000E3294" w:rsidRPr="00EC30EE">
        <w:rPr>
          <w:b/>
          <w:bCs/>
          <w:smallCaps/>
        </w:rPr>
        <w:t xml:space="preserve"> </w:t>
      </w:r>
      <w:r w:rsidR="00466862">
        <w:t xml:space="preserve">June </w:t>
      </w:r>
      <w:r w:rsidR="00A564C0">
        <w:t>19</w:t>
      </w:r>
      <w:r w:rsidR="006309C5">
        <w:t>, 2017</w:t>
      </w:r>
    </w:p>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Pr="00EC522D" w:rsidRDefault="00EC522D" w:rsidP="00EC522D"/>
    <w:p w:rsidR="00EC522D" w:rsidRDefault="00EC522D" w:rsidP="00EC522D"/>
    <w:p w:rsidR="00EC522D" w:rsidRDefault="00EC522D" w:rsidP="00EC522D"/>
    <w:p w:rsidR="00352252" w:rsidRPr="00EC522D" w:rsidRDefault="00352252" w:rsidP="00EC522D">
      <w:pPr>
        <w:jc w:val="center"/>
      </w:pPr>
    </w:p>
    <w:sectPr w:rsidR="00352252" w:rsidRPr="00EC522D" w:rsidSect="00AC3B91">
      <w:footerReference w:type="even" r:id="rId8"/>
      <w:footerReference w:type="default" r:id="rId9"/>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EA" w:rsidRDefault="00893DEA" w:rsidP="00276120">
      <w:r>
        <w:separator/>
      </w:r>
    </w:p>
  </w:endnote>
  <w:endnote w:type="continuationSeparator" w:id="0">
    <w:p w:rsidR="00893DEA" w:rsidRDefault="00893DEA"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91" w:rsidRPr="00AC3B91" w:rsidRDefault="008D3779" w:rsidP="00AC3B91">
    <w:pPr>
      <w:pStyle w:val="Footer"/>
      <w:pBdr>
        <w:top w:val="thinThickSmallGap" w:sz="24" w:space="1" w:color="622423"/>
      </w:pBdr>
      <w:tabs>
        <w:tab w:val="right" w:pos="10800"/>
      </w:tabs>
      <w:rPr>
        <w:rFonts w:ascii="Cambria" w:hAnsi="Cambria"/>
      </w:rPr>
    </w:pPr>
    <w:r>
      <w:rPr>
        <w:rFonts w:ascii="Cambria" w:hAnsi="Cambria"/>
      </w:rPr>
      <w:t>P</w:t>
    </w:r>
    <w:r w:rsidR="00D323D0">
      <w:rPr>
        <w:rFonts w:ascii="Cambria" w:hAnsi="Cambria"/>
      </w:rPr>
      <w:t xml:space="preserve">roposed Intro. No. </w:t>
    </w:r>
    <w:r w:rsidR="00113495">
      <w:rPr>
        <w:rFonts w:ascii="Cambria" w:hAnsi="Cambria"/>
      </w:rPr>
      <w:t>1</w:t>
    </w:r>
    <w:r w:rsidR="00E1727E">
      <w:rPr>
        <w:rFonts w:ascii="Cambria" w:hAnsi="Cambria"/>
      </w:rPr>
      <w:t>259</w:t>
    </w:r>
    <w:r w:rsidR="00113495">
      <w:rPr>
        <w:rFonts w:ascii="Cambria" w:hAnsi="Cambria"/>
      </w:rPr>
      <w:t>- A</w:t>
    </w:r>
    <w:r w:rsidR="00AC3B91" w:rsidRPr="00AC3B91">
      <w:rPr>
        <w:rFonts w:ascii="Cambria" w:hAnsi="Cambria"/>
      </w:rPr>
      <w:tab/>
    </w:r>
    <w:r w:rsidR="00AC3B91" w:rsidRPr="00AC3B91">
      <w:rPr>
        <w:rFonts w:ascii="Cambria" w:hAnsi="Cambria"/>
      </w:rPr>
      <w:tab/>
    </w:r>
    <w:r w:rsidR="00AC3B91" w:rsidRPr="00AC3B91">
      <w:rPr>
        <w:rFonts w:ascii="Cambria" w:hAnsi="Cambria"/>
      </w:rPr>
      <w:tab/>
      <w:t xml:space="preserve">Page </w:t>
    </w:r>
    <w:r w:rsidR="00AC3B91" w:rsidRPr="00AC3B91">
      <w:rPr>
        <w:rFonts w:ascii="Calibri" w:hAnsi="Calibri"/>
      </w:rPr>
      <w:fldChar w:fldCharType="begin"/>
    </w:r>
    <w:r w:rsidR="00AC3B91">
      <w:instrText xml:space="preserve"> PAGE   \* MERGEFORMAT </w:instrText>
    </w:r>
    <w:r w:rsidR="00AC3B91" w:rsidRPr="00AC3B91">
      <w:rPr>
        <w:rFonts w:ascii="Calibri" w:hAnsi="Calibri"/>
      </w:rPr>
      <w:fldChar w:fldCharType="separate"/>
    </w:r>
    <w:r w:rsidR="00B66ED0" w:rsidRPr="00B66ED0">
      <w:rPr>
        <w:rFonts w:ascii="Cambria" w:hAnsi="Cambria"/>
        <w:noProof/>
      </w:rPr>
      <w:t>2</w:t>
    </w:r>
    <w:r w:rsidR="00AC3B91" w:rsidRPr="00AC3B91">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91" w:rsidRPr="00AC3B91" w:rsidRDefault="008D3779" w:rsidP="00AC3B91">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AC3B91">
      <w:rPr>
        <w:rFonts w:ascii="Cambria" w:hAnsi="Cambria"/>
      </w:rPr>
      <w:t>Intro</w:t>
    </w:r>
    <w:r>
      <w:rPr>
        <w:rFonts w:ascii="Cambria" w:hAnsi="Cambria"/>
      </w:rPr>
      <w:t>. No.</w:t>
    </w:r>
    <w:r w:rsidR="00AC3B91">
      <w:rPr>
        <w:rFonts w:ascii="Cambria" w:hAnsi="Cambria"/>
      </w:rPr>
      <w:t xml:space="preserve"> </w:t>
    </w:r>
    <w:r w:rsidR="005D01C4">
      <w:rPr>
        <w:rFonts w:ascii="Cambria" w:hAnsi="Cambria"/>
      </w:rPr>
      <w:t>1</w:t>
    </w:r>
    <w:r w:rsidR="00E1727E">
      <w:rPr>
        <w:rFonts w:ascii="Cambria" w:hAnsi="Cambria"/>
      </w:rPr>
      <w:t>259</w:t>
    </w:r>
    <w:r w:rsidR="00AC3B91">
      <w:rPr>
        <w:rFonts w:ascii="Cambria" w:hAnsi="Cambria"/>
      </w:rPr>
      <w:t>-A</w:t>
    </w:r>
    <w:r w:rsidR="00AC3B91" w:rsidRPr="00AC3B91">
      <w:rPr>
        <w:rFonts w:ascii="Cambria" w:hAnsi="Cambria"/>
      </w:rPr>
      <w:tab/>
      <w:t xml:space="preserve">Page </w:t>
    </w:r>
    <w:r w:rsidR="00AC3B91" w:rsidRPr="00AC3B91">
      <w:rPr>
        <w:rFonts w:ascii="Calibri" w:hAnsi="Calibri"/>
      </w:rPr>
      <w:fldChar w:fldCharType="begin"/>
    </w:r>
    <w:r w:rsidR="00AC3B91">
      <w:instrText xml:space="preserve"> PAGE   \* MERGEFORMAT </w:instrText>
    </w:r>
    <w:r w:rsidR="00AC3B91" w:rsidRPr="00AC3B91">
      <w:rPr>
        <w:rFonts w:ascii="Calibri" w:hAnsi="Calibri"/>
      </w:rPr>
      <w:fldChar w:fldCharType="separate"/>
    </w:r>
    <w:r w:rsidR="00B66ED0" w:rsidRPr="00B66ED0">
      <w:rPr>
        <w:rFonts w:ascii="Cambria" w:hAnsi="Cambria"/>
        <w:noProof/>
      </w:rPr>
      <w:t>1</w:t>
    </w:r>
    <w:r w:rsidR="00AC3B91" w:rsidRPr="00AC3B91">
      <w:rPr>
        <w:rFonts w:ascii="Cambria" w:hAnsi="Cambria"/>
        <w:noProof/>
      </w:rPr>
      <w:fldChar w:fldCharType="end"/>
    </w:r>
  </w:p>
  <w:p w:rsidR="006E1700" w:rsidRPr="00AC3B91" w:rsidRDefault="006E1700" w:rsidP="00AC3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EA" w:rsidRDefault="00893DEA" w:rsidP="00276120">
      <w:r>
        <w:separator/>
      </w:r>
    </w:p>
  </w:footnote>
  <w:footnote w:type="continuationSeparator" w:id="0">
    <w:p w:rsidR="00893DEA" w:rsidRDefault="00893DEA" w:rsidP="00276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5F12"/>
    <w:rsid w:val="00025E35"/>
    <w:rsid w:val="00027E0B"/>
    <w:rsid w:val="000329FE"/>
    <w:rsid w:val="00032FE9"/>
    <w:rsid w:val="000360FF"/>
    <w:rsid w:val="00037B11"/>
    <w:rsid w:val="000407A1"/>
    <w:rsid w:val="00042353"/>
    <w:rsid w:val="00057D10"/>
    <w:rsid w:val="0006118C"/>
    <w:rsid w:val="00063260"/>
    <w:rsid w:val="000713D3"/>
    <w:rsid w:val="000720F2"/>
    <w:rsid w:val="00076B40"/>
    <w:rsid w:val="00076C11"/>
    <w:rsid w:val="00094ED2"/>
    <w:rsid w:val="00097A10"/>
    <w:rsid w:val="000A1056"/>
    <w:rsid w:val="000B2CA3"/>
    <w:rsid w:val="000C25BD"/>
    <w:rsid w:val="000C4D0C"/>
    <w:rsid w:val="000C7FF6"/>
    <w:rsid w:val="000D6F75"/>
    <w:rsid w:val="000D7AEC"/>
    <w:rsid w:val="000E2C43"/>
    <w:rsid w:val="000E3294"/>
    <w:rsid w:val="000E3B3F"/>
    <w:rsid w:val="000F2143"/>
    <w:rsid w:val="001024A2"/>
    <w:rsid w:val="001028F7"/>
    <w:rsid w:val="0010485E"/>
    <w:rsid w:val="00113495"/>
    <w:rsid w:val="00121B3F"/>
    <w:rsid w:val="00121BBE"/>
    <w:rsid w:val="00131A2D"/>
    <w:rsid w:val="0014626B"/>
    <w:rsid w:val="00151FD2"/>
    <w:rsid w:val="00160E54"/>
    <w:rsid w:val="00170393"/>
    <w:rsid w:val="00171FA1"/>
    <w:rsid w:val="001762BE"/>
    <w:rsid w:val="00177D8E"/>
    <w:rsid w:val="00181A83"/>
    <w:rsid w:val="001904E8"/>
    <w:rsid w:val="001941DB"/>
    <w:rsid w:val="0019526D"/>
    <w:rsid w:val="001B229A"/>
    <w:rsid w:val="001B68C3"/>
    <w:rsid w:val="001C2A54"/>
    <w:rsid w:val="001D3549"/>
    <w:rsid w:val="001D3C9D"/>
    <w:rsid w:val="001F5B8B"/>
    <w:rsid w:val="001F758B"/>
    <w:rsid w:val="00215668"/>
    <w:rsid w:val="00224F9E"/>
    <w:rsid w:val="002354C6"/>
    <w:rsid w:val="00241A43"/>
    <w:rsid w:val="00251BB3"/>
    <w:rsid w:val="002521EF"/>
    <w:rsid w:val="002551E9"/>
    <w:rsid w:val="00260059"/>
    <w:rsid w:val="0027396D"/>
    <w:rsid w:val="00276120"/>
    <w:rsid w:val="002765AA"/>
    <w:rsid w:val="00287BD9"/>
    <w:rsid w:val="002A17B6"/>
    <w:rsid w:val="002B3D96"/>
    <w:rsid w:val="002C095A"/>
    <w:rsid w:val="002C0C81"/>
    <w:rsid w:val="002C558E"/>
    <w:rsid w:val="002D557B"/>
    <w:rsid w:val="002D635A"/>
    <w:rsid w:val="002E72D6"/>
    <w:rsid w:val="002F7C64"/>
    <w:rsid w:val="0031748F"/>
    <w:rsid w:val="00325A26"/>
    <w:rsid w:val="00326FF1"/>
    <w:rsid w:val="00327B3A"/>
    <w:rsid w:val="003313E2"/>
    <w:rsid w:val="00337604"/>
    <w:rsid w:val="003432B3"/>
    <w:rsid w:val="00350D0F"/>
    <w:rsid w:val="00351D5A"/>
    <w:rsid w:val="00352252"/>
    <w:rsid w:val="00354684"/>
    <w:rsid w:val="00354E86"/>
    <w:rsid w:val="00360133"/>
    <w:rsid w:val="003662F7"/>
    <w:rsid w:val="00373115"/>
    <w:rsid w:val="00393207"/>
    <w:rsid w:val="003A07CE"/>
    <w:rsid w:val="003A3DE9"/>
    <w:rsid w:val="003B28BC"/>
    <w:rsid w:val="003B3A9D"/>
    <w:rsid w:val="003C0AF9"/>
    <w:rsid w:val="003C1ABB"/>
    <w:rsid w:val="003C2928"/>
    <w:rsid w:val="003D2A99"/>
    <w:rsid w:val="003D3074"/>
    <w:rsid w:val="003D3AB1"/>
    <w:rsid w:val="003D6B3D"/>
    <w:rsid w:val="003F297F"/>
    <w:rsid w:val="00404735"/>
    <w:rsid w:val="00405391"/>
    <w:rsid w:val="00411F21"/>
    <w:rsid w:val="00422870"/>
    <w:rsid w:val="00422899"/>
    <w:rsid w:val="00427498"/>
    <w:rsid w:val="004450A1"/>
    <w:rsid w:val="00447C5A"/>
    <w:rsid w:val="00452E47"/>
    <w:rsid w:val="00464632"/>
    <w:rsid w:val="00466862"/>
    <w:rsid w:val="00466BC9"/>
    <w:rsid w:val="00476230"/>
    <w:rsid w:val="0048098A"/>
    <w:rsid w:val="00484172"/>
    <w:rsid w:val="00494625"/>
    <w:rsid w:val="0049769D"/>
    <w:rsid w:val="004C19BF"/>
    <w:rsid w:val="004C1A6A"/>
    <w:rsid w:val="004C571C"/>
    <w:rsid w:val="004F4056"/>
    <w:rsid w:val="00501079"/>
    <w:rsid w:val="00505558"/>
    <w:rsid w:val="00512323"/>
    <w:rsid w:val="00514F08"/>
    <w:rsid w:val="00517454"/>
    <w:rsid w:val="00517D5B"/>
    <w:rsid w:val="00523AE1"/>
    <w:rsid w:val="00537F82"/>
    <w:rsid w:val="00540E76"/>
    <w:rsid w:val="00542556"/>
    <w:rsid w:val="00545E4E"/>
    <w:rsid w:val="00550198"/>
    <w:rsid w:val="005516E8"/>
    <w:rsid w:val="00555F80"/>
    <w:rsid w:val="00556505"/>
    <w:rsid w:val="005738D4"/>
    <w:rsid w:val="00575DAB"/>
    <w:rsid w:val="0058026D"/>
    <w:rsid w:val="005865E8"/>
    <w:rsid w:val="00591A29"/>
    <w:rsid w:val="005977C3"/>
    <w:rsid w:val="005B5D45"/>
    <w:rsid w:val="005B5F6B"/>
    <w:rsid w:val="005D01C4"/>
    <w:rsid w:val="005D31BB"/>
    <w:rsid w:val="005E0C5B"/>
    <w:rsid w:val="005E24DF"/>
    <w:rsid w:val="005E2786"/>
    <w:rsid w:val="005E529E"/>
    <w:rsid w:val="005F1EA8"/>
    <w:rsid w:val="006104EE"/>
    <w:rsid w:val="006112F6"/>
    <w:rsid w:val="006142B3"/>
    <w:rsid w:val="00620DDC"/>
    <w:rsid w:val="0062319A"/>
    <w:rsid w:val="00624BF3"/>
    <w:rsid w:val="006309C5"/>
    <w:rsid w:val="006463AD"/>
    <w:rsid w:val="006548C6"/>
    <w:rsid w:val="0065752B"/>
    <w:rsid w:val="0066324A"/>
    <w:rsid w:val="00663E55"/>
    <w:rsid w:val="00674614"/>
    <w:rsid w:val="00680223"/>
    <w:rsid w:val="00683147"/>
    <w:rsid w:val="006A32E8"/>
    <w:rsid w:val="006B4BEF"/>
    <w:rsid w:val="006B51CE"/>
    <w:rsid w:val="006B7F13"/>
    <w:rsid w:val="006C4C21"/>
    <w:rsid w:val="006E1700"/>
    <w:rsid w:val="006E56DE"/>
    <w:rsid w:val="006F030A"/>
    <w:rsid w:val="00704297"/>
    <w:rsid w:val="007158C4"/>
    <w:rsid w:val="007311A9"/>
    <w:rsid w:val="007318FB"/>
    <w:rsid w:val="00733332"/>
    <w:rsid w:val="00733911"/>
    <w:rsid w:val="0073791A"/>
    <w:rsid w:val="00741160"/>
    <w:rsid w:val="0074484A"/>
    <w:rsid w:val="007542AC"/>
    <w:rsid w:val="00755FF0"/>
    <w:rsid w:val="00760AD4"/>
    <w:rsid w:val="00765127"/>
    <w:rsid w:val="007A5805"/>
    <w:rsid w:val="007C463F"/>
    <w:rsid w:val="007C6B6E"/>
    <w:rsid w:val="007C7DCF"/>
    <w:rsid w:val="007D0A60"/>
    <w:rsid w:val="007D0DCE"/>
    <w:rsid w:val="007D38CF"/>
    <w:rsid w:val="007D6260"/>
    <w:rsid w:val="007F2187"/>
    <w:rsid w:val="0080757E"/>
    <w:rsid w:val="008147BA"/>
    <w:rsid w:val="00814E5C"/>
    <w:rsid w:val="00814F35"/>
    <w:rsid w:val="00840B00"/>
    <w:rsid w:val="008440D8"/>
    <w:rsid w:val="00883B01"/>
    <w:rsid w:val="00893DEA"/>
    <w:rsid w:val="008A4610"/>
    <w:rsid w:val="008B215E"/>
    <w:rsid w:val="008B7C97"/>
    <w:rsid w:val="008C116A"/>
    <w:rsid w:val="008C264A"/>
    <w:rsid w:val="008C51C0"/>
    <w:rsid w:val="008C55D3"/>
    <w:rsid w:val="008D3779"/>
    <w:rsid w:val="008D79B4"/>
    <w:rsid w:val="008E2D65"/>
    <w:rsid w:val="008E41A4"/>
    <w:rsid w:val="008F3DD5"/>
    <w:rsid w:val="00910734"/>
    <w:rsid w:val="00913057"/>
    <w:rsid w:val="0092412E"/>
    <w:rsid w:val="00927E80"/>
    <w:rsid w:val="009317CB"/>
    <w:rsid w:val="00942003"/>
    <w:rsid w:val="009616EB"/>
    <w:rsid w:val="009644EE"/>
    <w:rsid w:val="009657CF"/>
    <w:rsid w:val="0097182A"/>
    <w:rsid w:val="009725BF"/>
    <w:rsid w:val="00973CCA"/>
    <w:rsid w:val="0098002D"/>
    <w:rsid w:val="0098367F"/>
    <w:rsid w:val="00985B97"/>
    <w:rsid w:val="00990853"/>
    <w:rsid w:val="009913B6"/>
    <w:rsid w:val="0099543E"/>
    <w:rsid w:val="0099668F"/>
    <w:rsid w:val="009A1709"/>
    <w:rsid w:val="009A5B62"/>
    <w:rsid w:val="009A767B"/>
    <w:rsid w:val="009B0F5C"/>
    <w:rsid w:val="009B6AA9"/>
    <w:rsid w:val="009C16EF"/>
    <w:rsid w:val="009D0048"/>
    <w:rsid w:val="009D275A"/>
    <w:rsid w:val="009D4BEE"/>
    <w:rsid w:val="009D5ED9"/>
    <w:rsid w:val="009D659B"/>
    <w:rsid w:val="009D7FAC"/>
    <w:rsid w:val="009E4362"/>
    <w:rsid w:val="009F328D"/>
    <w:rsid w:val="00A002AF"/>
    <w:rsid w:val="00A15BF5"/>
    <w:rsid w:val="00A161B2"/>
    <w:rsid w:val="00A203A5"/>
    <w:rsid w:val="00A311B2"/>
    <w:rsid w:val="00A33096"/>
    <w:rsid w:val="00A37E01"/>
    <w:rsid w:val="00A46F43"/>
    <w:rsid w:val="00A564C0"/>
    <w:rsid w:val="00A763F2"/>
    <w:rsid w:val="00A82025"/>
    <w:rsid w:val="00A8649C"/>
    <w:rsid w:val="00A86D0D"/>
    <w:rsid w:val="00AA1DE4"/>
    <w:rsid w:val="00AA421B"/>
    <w:rsid w:val="00AA6BEF"/>
    <w:rsid w:val="00AB46D5"/>
    <w:rsid w:val="00AC3B91"/>
    <w:rsid w:val="00AC5988"/>
    <w:rsid w:val="00AD6F79"/>
    <w:rsid w:val="00AE683E"/>
    <w:rsid w:val="00AF0929"/>
    <w:rsid w:val="00AF1B17"/>
    <w:rsid w:val="00AF1E24"/>
    <w:rsid w:val="00B027D5"/>
    <w:rsid w:val="00B038F6"/>
    <w:rsid w:val="00B03D76"/>
    <w:rsid w:val="00B07F3E"/>
    <w:rsid w:val="00B17F43"/>
    <w:rsid w:val="00B307DE"/>
    <w:rsid w:val="00B3136A"/>
    <w:rsid w:val="00B42620"/>
    <w:rsid w:val="00B42AA4"/>
    <w:rsid w:val="00B46169"/>
    <w:rsid w:val="00B50226"/>
    <w:rsid w:val="00B5117A"/>
    <w:rsid w:val="00B5249D"/>
    <w:rsid w:val="00B5490E"/>
    <w:rsid w:val="00B60C1B"/>
    <w:rsid w:val="00B66ED0"/>
    <w:rsid w:val="00B70870"/>
    <w:rsid w:val="00B83313"/>
    <w:rsid w:val="00B8672F"/>
    <w:rsid w:val="00B90CA7"/>
    <w:rsid w:val="00BA5D17"/>
    <w:rsid w:val="00BC0C38"/>
    <w:rsid w:val="00BC35F5"/>
    <w:rsid w:val="00BD2435"/>
    <w:rsid w:val="00BD2EEB"/>
    <w:rsid w:val="00BD3324"/>
    <w:rsid w:val="00BE7F03"/>
    <w:rsid w:val="00BF3072"/>
    <w:rsid w:val="00BF31E2"/>
    <w:rsid w:val="00BF788A"/>
    <w:rsid w:val="00C00669"/>
    <w:rsid w:val="00C00EDB"/>
    <w:rsid w:val="00C01190"/>
    <w:rsid w:val="00C11B5E"/>
    <w:rsid w:val="00C158C4"/>
    <w:rsid w:val="00C21D34"/>
    <w:rsid w:val="00C43E4E"/>
    <w:rsid w:val="00C50CA1"/>
    <w:rsid w:val="00C511FF"/>
    <w:rsid w:val="00C52037"/>
    <w:rsid w:val="00C525F3"/>
    <w:rsid w:val="00C55363"/>
    <w:rsid w:val="00C626C9"/>
    <w:rsid w:val="00C668CA"/>
    <w:rsid w:val="00C72B25"/>
    <w:rsid w:val="00C75B89"/>
    <w:rsid w:val="00C76848"/>
    <w:rsid w:val="00C87D5E"/>
    <w:rsid w:val="00C93378"/>
    <w:rsid w:val="00C94DDC"/>
    <w:rsid w:val="00CA5E51"/>
    <w:rsid w:val="00CB15EC"/>
    <w:rsid w:val="00CD1E59"/>
    <w:rsid w:val="00CD448F"/>
    <w:rsid w:val="00CE16A1"/>
    <w:rsid w:val="00CE56A2"/>
    <w:rsid w:val="00CF67FA"/>
    <w:rsid w:val="00D12B0A"/>
    <w:rsid w:val="00D13AF8"/>
    <w:rsid w:val="00D14033"/>
    <w:rsid w:val="00D14956"/>
    <w:rsid w:val="00D161A4"/>
    <w:rsid w:val="00D25AE0"/>
    <w:rsid w:val="00D273DC"/>
    <w:rsid w:val="00D323D0"/>
    <w:rsid w:val="00D34224"/>
    <w:rsid w:val="00D36F47"/>
    <w:rsid w:val="00D607A2"/>
    <w:rsid w:val="00D662B9"/>
    <w:rsid w:val="00D77A36"/>
    <w:rsid w:val="00D8127A"/>
    <w:rsid w:val="00D82449"/>
    <w:rsid w:val="00D86BA6"/>
    <w:rsid w:val="00DA0673"/>
    <w:rsid w:val="00DA1556"/>
    <w:rsid w:val="00DA40DA"/>
    <w:rsid w:val="00DA69E3"/>
    <w:rsid w:val="00DB057D"/>
    <w:rsid w:val="00DB23D9"/>
    <w:rsid w:val="00DB3362"/>
    <w:rsid w:val="00DB47A0"/>
    <w:rsid w:val="00DD09FA"/>
    <w:rsid w:val="00DD5EAA"/>
    <w:rsid w:val="00DE6E42"/>
    <w:rsid w:val="00E00EB3"/>
    <w:rsid w:val="00E05743"/>
    <w:rsid w:val="00E12670"/>
    <w:rsid w:val="00E15B60"/>
    <w:rsid w:val="00E1727E"/>
    <w:rsid w:val="00E203BF"/>
    <w:rsid w:val="00E228A2"/>
    <w:rsid w:val="00E24074"/>
    <w:rsid w:val="00E26F24"/>
    <w:rsid w:val="00E313DD"/>
    <w:rsid w:val="00E333D4"/>
    <w:rsid w:val="00E35BA2"/>
    <w:rsid w:val="00E3690D"/>
    <w:rsid w:val="00E37241"/>
    <w:rsid w:val="00E4319D"/>
    <w:rsid w:val="00E723BF"/>
    <w:rsid w:val="00E72DDF"/>
    <w:rsid w:val="00E74AD2"/>
    <w:rsid w:val="00E74CFA"/>
    <w:rsid w:val="00E80E0C"/>
    <w:rsid w:val="00E81482"/>
    <w:rsid w:val="00E83693"/>
    <w:rsid w:val="00EA2503"/>
    <w:rsid w:val="00EB4CB7"/>
    <w:rsid w:val="00EB5A53"/>
    <w:rsid w:val="00EC1006"/>
    <w:rsid w:val="00EC30EE"/>
    <w:rsid w:val="00EC3666"/>
    <w:rsid w:val="00EC3A17"/>
    <w:rsid w:val="00EC49B9"/>
    <w:rsid w:val="00EC522D"/>
    <w:rsid w:val="00ED74D9"/>
    <w:rsid w:val="00EE08D9"/>
    <w:rsid w:val="00EF6454"/>
    <w:rsid w:val="00EF7437"/>
    <w:rsid w:val="00F05DD2"/>
    <w:rsid w:val="00F117DB"/>
    <w:rsid w:val="00F11A59"/>
    <w:rsid w:val="00F22023"/>
    <w:rsid w:val="00F25AA7"/>
    <w:rsid w:val="00F35436"/>
    <w:rsid w:val="00F35E4E"/>
    <w:rsid w:val="00F43E05"/>
    <w:rsid w:val="00F674B5"/>
    <w:rsid w:val="00F67565"/>
    <w:rsid w:val="00F701F9"/>
    <w:rsid w:val="00F84DF2"/>
    <w:rsid w:val="00FB0C29"/>
    <w:rsid w:val="00FB184B"/>
    <w:rsid w:val="00FB2948"/>
    <w:rsid w:val="00FB3104"/>
    <w:rsid w:val="00FB3CEF"/>
    <w:rsid w:val="00FB6868"/>
    <w:rsid w:val="00FB76BE"/>
    <w:rsid w:val="00FB7EDC"/>
    <w:rsid w:val="00FC345E"/>
    <w:rsid w:val="00FC3D2A"/>
    <w:rsid w:val="00FC402B"/>
    <w:rsid w:val="00FC5178"/>
    <w:rsid w:val="00FD007B"/>
    <w:rsid w:val="00FE1D08"/>
    <w:rsid w:val="00FF2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3C56542-994E-4017-A263-8ED2508A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qFormat/>
    <w:pPr>
      <w:keepNext/>
      <w:jc w:val="center"/>
      <w:outlineLvl w:val="0"/>
    </w:pPr>
    <w:rPr>
      <w:b/>
      <w:bCs/>
      <w:szCs w:val="19"/>
    </w:rPr>
  </w:style>
  <w:style w:type="paragraph" w:styleId="Heading2">
    <w:name w:val="heading 2"/>
    <w:basedOn w:val="Normal"/>
    <w:next w:val="Normal"/>
    <w:qFormat/>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rsid w:val="003D2A99"/>
    <w:rPr>
      <w:b/>
      <w:bCs/>
    </w:rPr>
  </w:style>
  <w:style w:type="character" w:customStyle="1" w:styleId="CommentSubjectChar">
    <w:name w:val="Comment Subject Char"/>
    <w:basedOn w:val="CommentTextChar"/>
    <w:link w:val="CommentSubject"/>
    <w:rsid w:val="003D2A99"/>
    <w:rPr>
      <w:b/>
      <w:bCs/>
    </w:rPr>
  </w:style>
  <w:style w:type="paragraph" w:styleId="NoSpacing">
    <w:name w:val="No Spacing"/>
    <w:uiPriority w:val="1"/>
    <w:qFormat/>
    <w:rsid w:val="003D307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295641785">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850486580">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 w:id="1895653422">
      <w:bodyDiv w:val="1"/>
      <w:marLeft w:val="0"/>
      <w:marRight w:val="0"/>
      <w:marTop w:val="0"/>
      <w:marBottom w:val="0"/>
      <w:divBdr>
        <w:top w:val="none" w:sz="0" w:space="0" w:color="auto"/>
        <w:left w:val="none" w:sz="0" w:space="0" w:color="auto"/>
        <w:bottom w:val="none" w:sz="0" w:space="0" w:color="auto"/>
        <w:right w:val="none" w:sz="0" w:space="0" w:color="auto"/>
      </w:divBdr>
    </w:div>
    <w:div w:id="19682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8827-B119-4A4B-82A2-59A99EE2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2</TotalTime>
  <Pages>2</Pages>
  <Words>495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dc:creator>
  <cp:lastModifiedBy>Pagan, Maria</cp:lastModifiedBy>
  <cp:revision>3</cp:revision>
  <cp:lastPrinted>2017-06-21T13:22:00Z</cp:lastPrinted>
  <dcterms:created xsi:type="dcterms:W3CDTF">2017-06-16T20:24:00Z</dcterms:created>
  <dcterms:modified xsi:type="dcterms:W3CDTF">2017-06-21T13:23:00Z</dcterms:modified>
</cp:coreProperties>
</file>