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6" w:type="dxa"/>
        <w:jc w:val="center"/>
        <w:tblLook w:val="0600" w:firstRow="0" w:lastRow="0" w:firstColumn="0" w:lastColumn="0" w:noHBand="1" w:noVBand="1"/>
      </w:tblPr>
      <w:tblGrid>
        <w:gridCol w:w="6116"/>
        <w:gridCol w:w="4960"/>
      </w:tblGrid>
      <w:tr w:rsidR="00EF6E5A" w14:paraId="2C50E082" w14:textId="77777777" w:rsidTr="00946D00">
        <w:trPr>
          <w:trHeight w:val="2191"/>
          <w:jc w:val="center"/>
        </w:trPr>
        <w:tc>
          <w:tcPr>
            <w:tcW w:w="6116" w:type="dxa"/>
            <w:tcBorders>
              <w:bottom w:val="single" w:sz="4" w:space="0" w:color="auto"/>
            </w:tcBorders>
          </w:tcPr>
          <w:p w14:paraId="7CCC1F6E" w14:textId="77777777" w:rsidR="00EF6E5A" w:rsidRDefault="00EF6E5A" w:rsidP="00994D14">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B665D82" wp14:editId="311E0E8F">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3DDECCCD" w14:textId="77777777" w:rsidR="00EF6E5A" w:rsidRDefault="00EF6E5A" w:rsidP="00994D14"/>
        </w:tc>
        <w:tc>
          <w:tcPr>
            <w:tcW w:w="4960" w:type="dxa"/>
            <w:tcBorders>
              <w:bottom w:val="single" w:sz="4" w:space="0" w:color="auto"/>
            </w:tcBorders>
          </w:tcPr>
          <w:p w14:paraId="2763A878" w14:textId="77777777" w:rsidR="00EF6E5A" w:rsidRDefault="00EF6E5A" w:rsidP="00994D14">
            <w:pPr>
              <w:rPr>
                <w:b/>
                <w:bCs/>
                <w:smallCaps/>
              </w:rPr>
            </w:pPr>
            <w:r>
              <w:rPr>
                <w:b/>
                <w:bCs/>
                <w:smallCaps/>
              </w:rPr>
              <w:t>The Council of the City of New York</w:t>
            </w:r>
          </w:p>
          <w:p w14:paraId="3542CED3" w14:textId="77777777" w:rsidR="00EF6E5A" w:rsidRDefault="00EF6E5A" w:rsidP="00994D14">
            <w:pPr>
              <w:rPr>
                <w:b/>
                <w:bCs/>
                <w:smallCaps/>
              </w:rPr>
            </w:pPr>
            <w:r>
              <w:rPr>
                <w:b/>
                <w:bCs/>
                <w:smallCaps/>
              </w:rPr>
              <w:t>Finance Division</w:t>
            </w:r>
          </w:p>
          <w:p w14:paraId="5F053637" w14:textId="77777777" w:rsidR="00EF6E5A" w:rsidRDefault="00EF6E5A" w:rsidP="00994D14">
            <w:pPr>
              <w:spacing w:before="120"/>
              <w:rPr>
                <w:b/>
                <w:bCs/>
                <w:smallCaps/>
              </w:rPr>
            </w:pPr>
            <w:r>
              <w:rPr>
                <w:b/>
                <w:bCs/>
                <w:smallCaps/>
              </w:rPr>
              <w:t>Latonia McKinney, Director</w:t>
            </w:r>
          </w:p>
          <w:p w14:paraId="65FDB358" w14:textId="77777777" w:rsidR="00EF6E5A" w:rsidRDefault="00EF6E5A" w:rsidP="00994D14">
            <w:pPr>
              <w:spacing w:before="120"/>
            </w:pPr>
            <w:r>
              <w:rPr>
                <w:b/>
                <w:bCs/>
                <w:smallCaps/>
              </w:rPr>
              <w:t>Fiscal Impact Statement</w:t>
            </w:r>
          </w:p>
          <w:p w14:paraId="50D62F3A" w14:textId="77777777" w:rsidR="00EF6E5A" w:rsidRPr="00ED74D9" w:rsidRDefault="00EF6E5A" w:rsidP="00994D14">
            <w:pPr>
              <w:rPr>
                <w:b/>
                <w:bCs/>
                <w:sz w:val="16"/>
                <w:szCs w:val="16"/>
              </w:rPr>
            </w:pPr>
          </w:p>
          <w:p w14:paraId="43DEB25D" w14:textId="77777777" w:rsidR="00EF6E5A" w:rsidRDefault="00EF6E5A" w:rsidP="00994D14">
            <w:pPr>
              <w:rPr>
                <w:b/>
                <w:bCs/>
              </w:rPr>
            </w:pPr>
            <w:r>
              <w:rPr>
                <w:b/>
                <w:bCs/>
                <w:smallCaps/>
              </w:rPr>
              <w:t>Proposed Intro. no</w:t>
            </w:r>
            <w:r>
              <w:rPr>
                <w:b/>
                <w:bCs/>
              </w:rPr>
              <w:t xml:space="preserve">: </w:t>
            </w:r>
            <w:r w:rsidRPr="00581C14">
              <w:rPr>
                <w:b/>
                <w:bCs/>
              </w:rPr>
              <w:t xml:space="preserve"> </w:t>
            </w:r>
            <w:r>
              <w:rPr>
                <w:b/>
                <w:bCs/>
              </w:rPr>
              <w:t>701-A</w:t>
            </w:r>
          </w:p>
          <w:p w14:paraId="516D8202" w14:textId="77777777" w:rsidR="00EF6E5A" w:rsidRPr="00750463" w:rsidRDefault="00EF6E5A" w:rsidP="00994D14">
            <w:pPr>
              <w:rPr>
                <w:color w:val="FF0000"/>
                <w:sz w:val="16"/>
                <w:szCs w:val="16"/>
              </w:rPr>
            </w:pPr>
          </w:p>
          <w:p w14:paraId="712179F7" w14:textId="77777777" w:rsidR="00EF6E5A" w:rsidRPr="00A267C7" w:rsidRDefault="00EF6E5A" w:rsidP="00994D14">
            <w:pPr>
              <w:tabs>
                <w:tab w:val="left" w:pos="-1440"/>
              </w:tabs>
              <w:ind w:left="1440" w:hanging="1440"/>
              <w:jc w:val="left"/>
              <w:rPr>
                <w:color w:val="FF0000"/>
              </w:rPr>
            </w:pPr>
            <w:r>
              <w:rPr>
                <w:b/>
                <w:bCs/>
                <w:smallCaps/>
              </w:rPr>
              <w:t>Committee</w:t>
            </w:r>
            <w:r>
              <w:rPr>
                <w:b/>
                <w:bCs/>
              </w:rPr>
              <w:t>: Housing and Buildings</w:t>
            </w:r>
          </w:p>
        </w:tc>
      </w:tr>
      <w:tr w:rsidR="00EF6E5A" w:rsidRPr="00126707" w14:paraId="10FB9224" w14:textId="77777777" w:rsidTr="00946D00">
        <w:trPr>
          <w:trHeight w:val="2388"/>
          <w:jc w:val="center"/>
        </w:trPr>
        <w:tc>
          <w:tcPr>
            <w:tcW w:w="6116" w:type="dxa"/>
            <w:tcBorders>
              <w:top w:val="single" w:sz="4" w:space="0" w:color="auto"/>
              <w:bottom w:val="single" w:sz="4" w:space="0" w:color="auto"/>
            </w:tcBorders>
          </w:tcPr>
          <w:p w14:paraId="35C1A4BB" w14:textId="77777777" w:rsidR="00EF6E5A" w:rsidRPr="007460CB" w:rsidRDefault="00EF6E5A" w:rsidP="00994D14">
            <w:pPr>
              <w:pStyle w:val="NoSpacing"/>
              <w:rPr>
                <w:bCs/>
                <w:smallCaps/>
                <w:sz w:val="22"/>
                <w:szCs w:val="22"/>
              </w:rPr>
            </w:pPr>
            <w:bookmarkStart w:id="0" w:name="_GoBack"/>
            <w:r w:rsidRPr="00126707">
              <w:rPr>
                <w:b/>
                <w:bCs/>
                <w:smallCaps/>
                <w:sz w:val="22"/>
                <w:szCs w:val="22"/>
              </w:rPr>
              <w:t xml:space="preserve">Title: </w:t>
            </w:r>
            <w:r>
              <w:rPr>
                <w:rFonts w:eastAsia="Calibri"/>
              </w:rPr>
              <w:t xml:space="preserve">A local law </w:t>
            </w:r>
            <w:r w:rsidR="00002326">
              <w:rPr>
                <w:rFonts w:eastAsia="Calibri"/>
              </w:rPr>
              <w:t xml:space="preserve">to </w:t>
            </w:r>
            <w:r w:rsidR="00002326" w:rsidRPr="00002326">
              <w:rPr>
                <w:rFonts w:eastAsia="Calibri"/>
              </w:rPr>
              <w:t>amend the New York city charter, in relation to low energy intensity building requirements for certain capital projects</w:t>
            </w:r>
          </w:p>
          <w:p w14:paraId="60D97B0A" w14:textId="77777777" w:rsidR="00EF6E5A" w:rsidRPr="00126707" w:rsidRDefault="00EF6E5A" w:rsidP="00994D14"/>
        </w:tc>
        <w:tc>
          <w:tcPr>
            <w:tcW w:w="4960" w:type="dxa"/>
            <w:tcBorders>
              <w:top w:val="single" w:sz="4" w:space="0" w:color="auto"/>
              <w:bottom w:val="single" w:sz="4" w:space="0" w:color="auto"/>
            </w:tcBorders>
          </w:tcPr>
          <w:p w14:paraId="7271C0BA" w14:textId="47C129E6" w:rsidR="00002326" w:rsidRPr="00126707" w:rsidRDefault="00EF6E5A" w:rsidP="00961174">
            <w:pPr>
              <w:pStyle w:val="NoSpacing"/>
              <w:rPr>
                <w:b/>
              </w:rPr>
            </w:pPr>
            <w:r w:rsidRPr="009813B2">
              <w:rPr>
                <w:b/>
                <w:bCs/>
                <w:smallCaps/>
              </w:rPr>
              <w:t>Sponsor(S)</w:t>
            </w:r>
            <w:r w:rsidRPr="009813B2">
              <w:rPr>
                <w:b/>
                <w:bCs/>
              </w:rPr>
              <w:t xml:space="preserve">: </w:t>
            </w:r>
            <w:r w:rsidRPr="000727F7">
              <w:t xml:space="preserve">The Speaker (Council Member Mark-Viverito) and </w:t>
            </w:r>
            <w:r w:rsidR="00002326" w:rsidRPr="00002326">
              <w:t xml:space="preserve">Constantinides, Levin, </w:t>
            </w:r>
            <w:proofErr w:type="spellStart"/>
            <w:r w:rsidR="00002326" w:rsidRPr="00002326">
              <w:t>Garodnick</w:t>
            </w:r>
            <w:proofErr w:type="spellEnd"/>
            <w:r w:rsidR="00002326" w:rsidRPr="00002326">
              <w:t xml:space="preserve">, Arroyo, Lander, Palma, Richards, Rodriguez,  Menchaca, Levine, Vallone, Vacca, Williams, Cumbo, Dromm, Reynoso, Rose, Espinal, Maisel, Crowley, Chin, Rosenthal, Van Bramer, Miller, Kallos, Johnson, Torres, Lancman, Cohen, Barron, Ferreras-Copeland, </w:t>
            </w:r>
            <w:proofErr w:type="spellStart"/>
            <w:r w:rsidR="00002326" w:rsidRPr="00002326">
              <w:t>Treyger</w:t>
            </w:r>
            <w:proofErr w:type="spellEnd"/>
            <w:r w:rsidR="00002326" w:rsidRPr="00002326">
              <w:t xml:space="preserve"> and Ulrich</w:t>
            </w:r>
          </w:p>
        </w:tc>
      </w:tr>
    </w:tbl>
    <w:bookmarkEnd w:id="0"/>
    <w:p w14:paraId="4B8D1538" w14:textId="54A426C9" w:rsidR="00F8458D" w:rsidRDefault="00EF6E5A" w:rsidP="00961174">
      <w:pPr>
        <w:pStyle w:val="NoSpacing"/>
        <w:spacing w:before="120"/>
        <w:rPr>
          <w:color w:val="000000"/>
          <w:shd w:val="clear" w:color="auto" w:fill="FFFFFF"/>
        </w:rPr>
      </w:pPr>
      <w:r w:rsidRPr="00961174">
        <w:rPr>
          <w:b/>
          <w:smallCaps/>
        </w:rPr>
        <w:t>Summary of Legislation:</w:t>
      </w:r>
      <w:r w:rsidRPr="00A917EC">
        <w:rPr>
          <w:smallCaps/>
          <w:sz w:val="22"/>
          <w:szCs w:val="22"/>
        </w:rPr>
        <w:t xml:space="preserve"> </w:t>
      </w:r>
      <w:r w:rsidR="00862F35" w:rsidRPr="00862F35">
        <w:rPr>
          <w:color w:val="000000"/>
          <w:shd w:val="clear" w:color="auto" w:fill="FFFFFF"/>
        </w:rPr>
        <w:t xml:space="preserve">This bill would require that </w:t>
      </w:r>
      <w:r w:rsidR="00086D4D">
        <w:rPr>
          <w:color w:val="000000"/>
          <w:shd w:val="clear" w:color="auto" w:fill="FFFFFF"/>
        </w:rPr>
        <w:t xml:space="preserve">certain </w:t>
      </w:r>
      <w:r w:rsidR="00862F35" w:rsidRPr="00862F35">
        <w:rPr>
          <w:color w:val="000000"/>
          <w:shd w:val="clear" w:color="auto" w:fill="FFFFFF"/>
        </w:rPr>
        <w:t>City capital projects</w:t>
      </w:r>
      <w:r w:rsidR="00E3326E">
        <w:rPr>
          <w:color w:val="000000"/>
          <w:shd w:val="clear" w:color="auto" w:fill="FFFFFF"/>
        </w:rPr>
        <w:t xml:space="preserve"> that are added to the capital plan on or after July 1, 2017</w:t>
      </w:r>
      <w:r w:rsidR="00862F35" w:rsidRPr="00862F35">
        <w:rPr>
          <w:color w:val="000000"/>
          <w:shd w:val="clear" w:color="auto" w:fill="FFFFFF"/>
        </w:rPr>
        <w:t xml:space="preserve"> </w:t>
      </w:r>
      <w:r w:rsidR="00086D4D">
        <w:rPr>
          <w:color w:val="000000"/>
          <w:shd w:val="clear" w:color="auto" w:fill="FFFFFF"/>
        </w:rPr>
        <w:t xml:space="preserve">relating to </w:t>
      </w:r>
      <w:r w:rsidR="00CF6A77">
        <w:rPr>
          <w:color w:val="000000"/>
          <w:shd w:val="clear" w:color="auto" w:fill="FFFFFF"/>
        </w:rPr>
        <w:t>C</w:t>
      </w:r>
      <w:r w:rsidR="00086D4D">
        <w:rPr>
          <w:color w:val="000000"/>
          <w:shd w:val="clear" w:color="auto" w:fill="FFFFFF"/>
        </w:rPr>
        <w:t xml:space="preserve">ity-owned buildings </w:t>
      </w:r>
      <w:r w:rsidR="00862F35" w:rsidRPr="00862F35">
        <w:rPr>
          <w:color w:val="000000"/>
          <w:shd w:val="clear" w:color="auto" w:fill="FFFFFF"/>
        </w:rPr>
        <w:t xml:space="preserve">be designed and constructed </w:t>
      </w:r>
      <w:r w:rsidR="00086D4D">
        <w:rPr>
          <w:color w:val="000000"/>
          <w:shd w:val="clear" w:color="auto" w:fill="FFFFFF"/>
        </w:rPr>
        <w:t xml:space="preserve">with rigorous energy efficiency standards. </w:t>
      </w:r>
      <w:r w:rsidR="00B237BB">
        <w:rPr>
          <w:color w:val="000000"/>
          <w:shd w:val="clear" w:color="auto" w:fill="FFFFFF"/>
        </w:rPr>
        <w:t>the provisions of this bill</w:t>
      </w:r>
      <w:r w:rsidR="00154716">
        <w:rPr>
          <w:color w:val="000000"/>
          <w:shd w:val="clear" w:color="auto" w:fill="FFFFFF"/>
        </w:rPr>
        <w:t xml:space="preserve"> would apply to c</w:t>
      </w:r>
      <w:r w:rsidR="00154716" w:rsidRPr="00154716">
        <w:rPr>
          <w:color w:val="000000"/>
          <w:shd w:val="clear" w:color="auto" w:fill="FFFFFF"/>
        </w:rPr>
        <w:t>apital projects which involve the construction of a new building, an addition to an existing building</w:t>
      </w:r>
      <w:r w:rsidR="00CF6A77">
        <w:rPr>
          <w:color w:val="000000"/>
          <w:shd w:val="clear" w:color="auto" w:fill="FFFFFF"/>
        </w:rPr>
        <w:t>,</w:t>
      </w:r>
      <w:r w:rsidR="00154716" w:rsidRPr="00154716">
        <w:rPr>
          <w:color w:val="000000"/>
          <w:shd w:val="clear" w:color="auto" w:fill="FFFFFF"/>
        </w:rPr>
        <w:t xml:space="preserve"> or the substantial reconstruction of an existing building with an estimated cost of $2</w:t>
      </w:r>
      <w:r w:rsidR="00816188">
        <w:rPr>
          <w:color w:val="000000"/>
          <w:shd w:val="clear" w:color="auto" w:fill="FFFFFF"/>
        </w:rPr>
        <w:t>,000,000</w:t>
      </w:r>
      <w:r w:rsidR="00154716" w:rsidRPr="00154716">
        <w:rPr>
          <w:color w:val="000000"/>
          <w:shd w:val="clear" w:color="auto" w:fill="FFFFFF"/>
        </w:rPr>
        <w:t xml:space="preserve"> or more </w:t>
      </w:r>
      <w:r w:rsidR="00816188">
        <w:rPr>
          <w:color w:val="000000"/>
          <w:shd w:val="clear" w:color="auto" w:fill="FFFFFF"/>
        </w:rPr>
        <w:t>(</w:t>
      </w:r>
      <w:r w:rsidR="00154716" w:rsidRPr="00154716">
        <w:rPr>
          <w:color w:val="000000"/>
          <w:shd w:val="clear" w:color="auto" w:fill="FFFFFF"/>
        </w:rPr>
        <w:t>as adjusted for inflation</w:t>
      </w:r>
      <w:r w:rsidR="00816188">
        <w:rPr>
          <w:color w:val="000000"/>
          <w:shd w:val="clear" w:color="auto" w:fill="FFFFFF"/>
        </w:rPr>
        <w:t>)</w:t>
      </w:r>
      <w:r w:rsidR="00154716" w:rsidRPr="00154716">
        <w:rPr>
          <w:color w:val="000000"/>
          <w:shd w:val="clear" w:color="auto" w:fill="FFFFFF"/>
        </w:rPr>
        <w:t>.</w:t>
      </w:r>
      <w:r w:rsidR="006832AE">
        <w:rPr>
          <w:color w:val="000000"/>
          <w:shd w:val="clear" w:color="auto" w:fill="FFFFFF"/>
        </w:rPr>
        <w:t xml:space="preserve"> Such buildings would be required to </w:t>
      </w:r>
      <w:r w:rsidR="006832AE" w:rsidRPr="006832AE">
        <w:rPr>
          <w:color w:val="000000"/>
          <w:shd w:val="clear" w:color="auto" w:fill="FFFFFF"/>
        </w:rPr>
        <w:t>be designed and constructed as “low energy</w:t>
      </w:r>
      <w:r w:rsidR="00253049">
        <w:rPr>
          <w:color w:val="000000"/>
          <w:shd w:val="clear" w:color="auto" w:fill="FFFFFF"/>
        </w:rPr>
        <w:t xml:space="preserve"> intensity</w:t>
      </w:r>
      <w:r w:rsidR="006832AE" w:rsidRPr="006832AE">
        <w:rPr>
          <w:color w:val="000000"/>
          <w:shd w:val="clear" w:color="auto" w:fill="FFFFFF"/>
        </w:rPr>
        <w:t xml:space="preserve"> buildings,” meaning that </w:t>
      </w:r>
      <w:r w:rsidR="00464615">
        <w:rPr>
          <w:color w:val="000000"/>
          <w:shd w:val="clear" w:color="auto" w:fill="FFFFFF"/>
        </w:rPr>
        <w:t>the building’s</w:t>
      </w:r>
      <w:r w:rsidR="00F8458D">
        <w:rPr>
          <w:color w:val="000000"/>
          <w:shd w:val="clear" w:color="auto" w:fill="FFFFFF"/>
        </w:rPr>
        <w:t xml:space="preserve"> energy use intensity (EUI) either:</w:t>
      </w:r>
    </w:p>
    <w:p w14:paraId="17E89598" w14:textId="3870E2F5" w:rsidR="00F8458D" w:rsidRDefault="006832AE" w:rsidP="00961174">
      <w:pPr>
        <w:pStyle w:val="NoSpacing"/>
        <w:numPr>
          <w:ilvl w:val="0"/>
          <w:numId w:val="2"/>
        </w:numPr>
        <w:spacing w:before="120"/>
        <w:ind w:left="792"/>
        <w:rPr>
          <w:color w:val="000000"/>
          <w:shd w:val="clear" w:color="auto" w:fill="FFFFFF"/>
        </w:rPr>
      </w:pPr>
      <w:r>
        <w:rPr>
          <w:color w:val="000000"/>
          <w:shd w:val="clear" w:color="auto" w:fill="FFFFFF"/>
        </w:rPr>
        <w:t xml:space="preserve">matches </w:t>
      </w:r>
      <w:r w:rsidRPr="00862F35">
        <w:rPr>
          <w:color w:val="000000"/>
          <w:shd w:val="clear" w:color="auto" w:fill="FFFFFF"/>
        </w:rPr>
        <w:t xml:space="preserve">passive </w:t>
      </w:r>
      <w:r>
        <w:rPr>
          <w:color w:val="000000"/>
          <w:shd w:val="clear" w:color="auto" w:fill="FFFFFF"/>
        </w:rPr>
        <w:t xml:space="preserve">house </w:t>
      </w:r>
      <w:r w:rsidRPr="00862F35">
        <w:rPr>
          <w:color w:val="000000"/>
          <w:shd w:val="clear" w:color="auto" w:fill="FFFFFF"/>
        </w:rPr>
        <w:t>building standards</w:t>
      </w:r>
      <w:r w:rsidR="00CF6A77">
        <w:rPr>
          <w:color w:val="000000"/>
          <w:shd w:val="clear" w:color="auto" w:fill="FFFFFF"/>
        </w:rPr>
        <w:t>;</w:t>
      </w:r>
      <w:r w:rsidR="00464615">
        <w:rPr>
          <w:color w:val="000000"/>
          <w:shd w:val="clear" w:color="auto" w:fill="FFFFFF"/>
        </w:rPr>
        <w:t xml:space="preserve"> </w:t>
      </w:r>
    </w:p>
    <w:p w14:paraId="0B521512" w14:textId="5DBFA718" w:rsidR="00F8458D" w:rsidRDefault="006832AE" w:rsidP="00F8458D">
      <w:pPr>
        <w:pStyle w:val="NoSpacing"/>
        <w:numPr>
          <w:ilvl w:val="0"/>
          <w:numId w:val="2"/>
        </w:numPr>
        <w:rPr>
          <w:color w:val="000000"/>
          <w:shd w:val="clear" w:color="auto" w:fill="FFFFFF"/>
        </w:rPr>
      </w:pPr>
      <w:r>
        <w:rPr>
          <w:color w:val="000000"/>
          <w:shd w:val="clear" w:color="auto" w:fill="FFFFFF"/>
        </w:rPr>
        <w:t>is 50 percent less than the</w:t>
      </w:r>
      <w:r w:rsidRPr="006832AE">
        <w:rPr>
          <w:color w:val="000000"/>
          <w:shd w:val="clear" w:color="auto" w:fill="FFFFFF"/>
        </w:rPr>
        <w:t xml:space="preserve"> 2013 edition of the energy standard for buildings</w:t>
      </w:r>
      <w:r>
        <w:rPr>
          <w:color w:val="000000"/>
          <w:shd w:val="clear" w:color="auto" w:fill="FFFFFF"/>
        </w:rPr>
        <w:t xml:space="preserve"> </w:t>
      </w:r>
      <w:r w:rsidR="00503CBF" w:rsidRPr="006832AE">
        <w:rPr>
          <w:color w:val="000000"/>
          <w:shd w:val="clear" w:color="auto" w:fill="FFFFFF"/>
        </w:rPr>
        <w:t xml:space="preserve">published by the American </w:t>
      </w:r>
      <w:r w:rsidR="00464615">
        <w:rPr>
          <w:color w:val="000000"/>
          <w:shd w:val="clear" w:color="auto" w:fill="FFFFFF"/>
        </w:rPr>
        <w:t>S</w:t>
      </w:r>
      <w:r w:rsidR="00464615" w:rsidRPr="006832AE">
        <w:rPr>
          <w:color w:val="000000"/>
          <w:shd w:val="clear" w:color="auto" w:fill="FFFFFF"/>
        </w:rPr>
        <w:t xml:space="preserve">ociety </w:t>
      </w:r>
      <w:r w:rsidR="00503CBF" w:rsidRPr="006832AE">
        <w:rPr>
          <w:color w:val="000000"/>
          <w:shd w:val="clear" w:color="auto" w:fill="FFFFFF"/>
        </w:rPr>
        <w:t xml:space="preserve">of </w:t>
      </w:r>
      <w:r w:rsidR="00464615">
        <w:rPr>
          <w:color w:val="000000"/>
          <w:shd w:val="clear" w:color="auto" w:fill="FFFFFF"/>
        </w:rPr>
        <w:t>H</w:t>
      </w:r>
      <w:r w:rsidR="00464615" w:rsidRPr="006832AE">
        <w:rPr>
          <w:color w:val="000000"/>
          <w:shd w:val="clear" w:color="auto" w:fill="FFFFFF"/>
        </w:rPr>
        <w:t>eating</w:t>
      </w:r>
      <w:r w:rsidR="00503CBF" w:rsidRPr="006832AE">
        <w:rPr>
          <w:color w:val="000000"/>
          <w:shd w:val="clear" w:color="auto" w:fill="FFFFFF"/>
        </w:rPr>
        <w:t xml:space="preserve">, </w:t>
      </w:r>
      <w:r w:rsidR="00464615">
        <w:rPr>
          <w:color w:val="000000"/>
          <w:shd w:val="clear" w:color="auto" w:fill="FFFFFF"/>
        </w:rPr>
        <w:t>R</w:t>
      </w:r>
      <w:r w:rsidR="00464615" w:rsidRPr="006832AE">
        <w:rPr>
          <w:color w:val="000000"/>
          <w:shd w:val="clear" w:color="auto" w:fill="FFFFFF"/>
        </w:rPr>
        <w:t xml:space="preserve">efrigerating </w:t>
      </w:r>
      <w:r w:rsidR="00503CBF" w:rsidRPr="006832AE">
        <w:rPr>
          <w:color w:val="000000"/>
          <w:shd w:val="clear" w:color="auto" w:fill="FFFFFF"/>
        </w:rPr>
        <w:t xml:space="preserve">and </w:t>
      </w:r>
      <w:r w:rsidR="00464615">
        <w:rPr>
          <w:color w:val="000000"/>
          <w:shd w:val="clear" w:color="auto" w:fill="FFFFFF"/>
        </w:rPr>
        <w:t>A</w:t>
      </w:r>
      <w:r w:rsidR="00464615" w:rsidRPr="006832AE">
        <w:rPr>
          <w:color w:val="000000"/>
          <w:shd w:val="clear" w:color="auto" w:fill="FFFFFF"/>
        </w:rPr>
        <w:t xml:space="preserve">ir </w:t>
      </w:r>
      <w:r w:rsidR="00464615">
        <w:rPr>
          <w:color w:val="000000"/>
          <w:shd w:val="clear" w:color="auto" w:fill="FFFFFF"/>
        </w:rPr>
        <w:t xml:space="preserve">Conditioning </w:t>
      </w:r>
      <w:r w:rsidR="00503CBF">
        <w:rPr>
          <w:color w:val="000000"/>
          <w:shd w:val="clear" w:color="auto" w:fill="FFFFFF"/>
        </w:rPr>
        <w:t>engineers (ASHRAE)</w:t>
      </w:r>
      <w:r w:rsidR="00CF6A77">
        <w:rPr>
          <w:color w:val="000000"/>
          <w:shd w:val="clear" w:color="auto" w:fill="FFFFFF"/>
        </w:rPr>
        <w:t>;</w:t>
      </w:r>
      <w:r w:rsidR="00503CBF">
        <w:rPr>
          <w:color w:val="000000"/>
          <w:shd w:val="clear" w:color="auto" w:fill="FFFFFF"/>
        </w:rPr>
        <w:t xml:space="preserve"> </w:t>
      </w:r>
    </w:p>
    <w:p w14:paraId="1EE80B28" w14:textId="1C7A389C" w:rsidR="00F8458D" w:rsidRDefault="00464615" w:rsidP="00F8458D">
      <w:pPr>
        <w:pStyle w:val="NoSpacing"/>
        <w:numPr>
          <w:ilvl w:val="0"/>
          <w:numId w:val="2"/>
        </w:numPr>
        <w:rPr>
          <w:color w:val="000000"/>
          <w:shd w:val="clear" w:color="auto" w:fill="FFFFFF"/>
        </w:rPr>
      </w:pPr>
      <w:r>
        <w:rPr>
          <w:color w:val="000000"/>
          <w:shd w:val="clear" w:color="auto" w:fill="FFFFFF"/>
        </w:rPr>
        <w:t xml:space="preserve">is </w:t>
      </w:r>
      <w:r w:rsidR="006832AE">
        <w:rPr>
          <w:color w:val="000000"/>
          <w:shd w:val="clear" w:color="auto" w:fill="FFFFFF"/>
        </w:rPr>
        <w:t xml:space="preserve">50 percent </w:t>
      </w:r>
      <w:r w:rsidR="006832AE" w:rsidRPr="006832AE">
        <w:rPr>
          <w:color w:val="000000"/>
          <w:shd w:val="clear" w:color="auto" w:fill="FFFFFF"/>
        </w:rPr>
        <w:t xml:space="preserve">lower than the </w:t>
      </w:r>
      <w:r w:rsidR="006832AE">
        <w:rPr>
          <w:color w:val="000000"/>
          <w:shd w:val="clear" w:color="auto" w:fill="FFFFFF"/>
        </w:rPr>
        <w:t xml:space="preserve">median source </w:t>
      </w:r>
      <w:r w:rsidR="006832AE" w:rsidRPr="006832AE">
        <w:rPr>
          <w:color w:val="000000"/>
          <w:shd w:val="clear" w:color="auto" w:fill="FFFFFF"/>
        </w:rPr>
        <w:t xml:space="preserve">EUI </w:t>
      </w:r>
      <w:r w:rsidR="006832AE">
        <w:rPr>
          <w:color w:val="000000"/>
          <w:shd w:val="clear" w:color="auto" w:fill="FFFFFF"/>
        </w:rPr>
        <w:t>of</w:t>
      </w:r>
      <w:r w:rsidR="006832AE" w:rsidRPr="006832AE">
        <w:rPr>
          <w:color w:val="000000"/>
          <w:shd w:val="clear" w:color="auto" w:fill="FFFFFF"/>
        </w:rPr>
        <w:t xml:space="preserve"> benchmarked buildings</w:t>
      </w:r>
      <w:r w:rsidR="006832AE">
        <w:rPr>
          <w:color w:val="000000"/>
          <w:shd w:val="clear" w:color="auto" w:fill="FFFFFF"/>
        </w:rPr>
        <w:t xml:space="preserve"> in the City</w:t>
      </w:r>
      <w:r w:rsidR="00CF6A77">
        <w:rPr>
          <w:color w:val="000000"/>
          <w:shd w:val="clear" w:color="auto" w:fill="FFFFFF"/>
        </w:rPr>
        <w:t>;</w:t>
      </w:r>
      <w:r>
        <w:rPr>
          <w:color w:val="000000"/>
          <w:shd w:val="clear" w:color="auto" w:fill="FFFFFF"/>
        </w:rPr>
        <w:t xml:space="preserve"> </w:t>
      </w:r>
      <w:r w:rsidR="006832AE">
        <w:rPr>
          <w:color w:val="000000"/>
          <w:shd w:val="clear" w:color="auto" w:fill="FFFFFF"/>
        </w:rPr>
        <w:t xml:space="preserve">or </w:t>
      </w:r>
    </w:p>
    <w:p w14:paraId="0589F23E" w14:textId="77777777" w:rsidR="00F8458D" w:rsidRDefault="00464615" w:rsidP="00F8458D">
      <w:pPr>
        <w:pStyle w:val="NoSpacing"/>
        <w:numPr>
          <w:ilvl w:val="0"/>
          <w:numId w:val="2"/>
        </w:numPr>
        <w:rPr>
          <w:color w:val="000000"/>
          <w:shd w:val="clear" w:color="auto" w:fill="FFFFFF"/>
        </w:rPr>
      </w:pPr>
      <w:r>
        <w:rPr>
          <w:color w:val="000000"/>
          <w:shd w:val="clear" w:color="auto" w:fill="FFFFFF"/>
        </w:rPr>
        <w:t xml:space="preserve">meets </w:t>
      </w:r>
      <w:r w:rsidR="006832AE">
        <w:rPr>
          <w:color w:val="000000"/>
          <w:shd w:val="clear" w:color="auto" w:fill="FFFFFF"/>
        </w:rPr>
        <w:t>an alternative target</w:t>
      </w:r>
      <w:r w:rsidR="00C73EF2">
        <w:rPr>
          <w:color w:val="000000"/>
          <w:shd w:val="clear" w:color="auto" w:fill="FFFFFF"/>
        </w:rPr>
        <w:t xml:space="preserve"> set forth by the Mayor. </w:t>
      </w:r>
    </w:p>
    <w:p w14:paraId="3DF54A79" w14:textId="77777777" w:rsidR="00F8458D" w:rsidRDefault="00F8458D" w:rsidP="00F8458D">
      <w:pPr>
        <w:pStyle w:val="NoSpacing"/>
      </w:pPr>
    </w:p>
    <w:p w14:paraId="6CE8D093" w14:textId="4B4003FA" w:rsidR="00F8458D" w:rsidRPr="00F8458D" w:rsidRDefault="00503CBF" w:rsidP="00F8458D">
      <w:pPr>
        <w:pStyle w:val="NoSpacing"/>
        <w:rPr>
          <w:color w:val="000000"/>
          <w:shd w:val="clear" w:color="auto" w:fill="FFFFFF"/>
        </w:rPr>
      </w:pPr>
      <w:r>
        <w:t xml:space="preserve">It would also require </w:t>
      </w:r>
      <w:r w:rsidR="00464615">
        <w:t>that the design agency for</w:t>
      </w:r>
      <w:r>
        <w:t xml:space="preserve"> such projects </w:t>
      </w:r>
      <w:r w:rsidR="00F8458D">
        <w:t xml:space="preserve">consider both: </w:t>
      </w:r>
    </w:p>
    <w:p w14:paraId="222EBA48" w14:textId="0321A099" w:rsidR="00F8458D" w:rsidRPr="00F8458D" w:rsidRDefault="00464615" w:rsidP="00F8458D">
      <w:pPr>
        <w:pStyle w:val="NoSpacing"/>
        <w:numPr>
          <w:ilvl w:val="0"/>
          <w:numId w:val="2"/>
        </w:numPr>
        <w:rPr>
          <w:color w:val="000000"/>
          <w:shd w:val="clear" w:color="auto" w:fill="FFFFFF"/>
        </w:rPr>
      </w:pPr>
      <w:r>
        <w:t>the feasibility of</w:t>
      </w:r>
      <w:r w:rsidR="00503CBF">
        <w:t xml:space="preserve"> </w:t>
      </w:r>
      <w:r>
        <w:t xml:space="preserve">designing </w:t>
      </w:r>
      <w:r w:rsidR="00503CBF">
        <w:t xml:space="preserve">and </w:t>
      </w:r>
      <w:r>
        <w:t xml:space="preserve">constructing such project </w:t>
      </w:r>
      <w:r w:rsidR="00C73EF2">
        <w:t xml:space="preserve">to produce energy onsite </w:t>
      </w:r>
      <w:r w:rsidR="00C73EF2" w:rsidRPr="00503CBF">
        <w:t xml:space="preserve">in an amount equal to or greater than </w:t>
      </w:r>
      <w:r w:rsidR="00CF6A77">
        <w:t xml:space="preserve">ten </w:t>
      </w:r>
      <w:r w:rsidR="00C73EF2">
        <w:t>percent</w:t>
      </w:r>
      <w:r w:rsidR="00C73EF2" w:rsidRPr="00503CBF">
        <w:t xml:space="preserve"> of suc</w:t>
      </w:r>
      <w:r w:rsidR="00C73EF2">
        <w:t>h building’s total energy needs</w:t>
      </w:r>
      <w:r w:rsidR="00CF6A77">
        <w:t>;</w:t>
      </w:r>
      <w:r w:rsidR="00F8458D">
        <w:t xml:space="preserve"> and </w:t>
      </w:r>
    </w:p>
    <w:p w14:paraId="58A57162" w14:textId="77777777" w:rsidR="00F8458D" w:rsidRDefault="00464615" w:rsidP="00F8458D">
      <w:pPr>
        <w:pStyle w:val="NoSpacing"/>
        <w:numPr>
          <w:ilvl w:val="0"/>
          <w:numId w:val="2"/>
        </w:numPr>
        <w:rPr>
          <w:color w:val="000000"/>
          <w:shd w:val="clear" w:color="auto" w:fill="FFFFFF"/>
        </w:rPr>
      </w:pPr>
      <w:r>
        <w:t>for projects involving buildings no more than three stories tall, the feasibility of designing and constructing such building as a net-zero energy building</w:t>
      </w:r>
      <w:r w:rsidR="00C73EF2">
        <w:t>.</w:t>
      </w:r>
      <w:r w:rsidR="00E532DE">
        <w:rPr>
          <w:color w:val="000000"/>
          <w:shd w:val="clear" w:color="auto" w:fill="FFFFFF"/>
        </w:rPr>
        <w:t xml:space="preserve"> </w:t>
      </w:r>
    </w:p>
    <w:p w14:paraId="17CA1E99" w14:textId="77777777" w:rsidR="00F8458D" w:rsidRDefault="00F8458D" w:rsidP="00F8458D">
      <w:pPr>
        <w:pStyle w:val="NoSpacing"/>
        <w:rPr>
          <w:color w:val="000000"/>
          <w:shd w:val="clear" w:color="auto" w:fill="FFFFFF"/>
        </w:rPr>
      </w:pPr>
    </w:p>
    <w:p w14:paraId="21098FD9" w14:textId="37684D11" w:rsidR="00253049" w:rsidRDefault="00253049" w:rsidP="00F8458D">
      <w:pPr>
        <w:pStyle w:val="NoSpacing"/>
        <w:rPr>
          <w:color w:val="000000"/>
          <w:shd w:val="clear" w:color="auto" w:fill="FFFFFF"/>
        </w:rPr>
      </w:pPr>
      <w:r>
        <w:rPr>
          <w:color w:val="000000"/>
          <w:shd w:val="clear" w:color="auto" w:fill="FFFFFF"/>
        </w:rPr>
        <w:t xml:space="preserve">The legislation would authorize the Mayor to </w:t>
      </w:r>
      <w:r w:rsidR="00E3326E">
        <w:rPr>
          <w:color w:val="000000"/>
          <w:shd w:val="clear" w:color="auto" w:fill="FFFFFF"/>
        </w:rPr>
        <w:t>set alternative energy intensity targets, but in such case would require that within 60 days the Mayor issue a report describing the alternative target and the buildings or work to which it would apply and, if the alternative target is less stringent than the energy intensity target set forth in the legislation, the report must include the reasons that the energy intensity target in the legislation would be impracticable or unduly burdensome.</w:t>
      </w:r>
    </w:p>
    <w:p w14:paraId="67FB869E" w14:textId="77777777" w:rsidR="00E3326E" w:rsidRDefault="00E3326E" w:rsidP="00F8458D">
      <w:pPr>
        <w:pStyle w:val="NoSpacing"/>
        <w:rPr>
          <w:color w:val="000000"/>
          <w:shd w:val="clear" w:color="auto" w:fill="FFFFFF"/>
        </w:rPr>
      </w:pPr>
    </w:p>
    <w:p w14:paraId="1E221837" w14:textId="05B63C60" w:rsidR="00862F35" w:rsidRPr="00E532DE" w:rsidRDefault="00BA7579" w:rsidP="00F8458D">
      <w:pPr>
        <w:pStyle w:val="NoSpacing"/>
        <w:rPr>
          <w:color w:val="000000"/>
          <w:shd w:val="clear" w:color="auto" w:fill="FFFFFF"/>
        </w:rPr>
      </w:pPr>
      <w:r>
        <w:rPr>
          <w:color w:val="000000"/>
          <w:shd w:val="clear" w:color="auto" w:fill="FFFFFF"/>
        </w:rPr>
        <w:t xml:space="preserve">The Mayor </w:t>
      </w:r>
      <w:r w:rsidR="004D3C13">
        <w:rPr>
          <w:color w:val="000000"/>
          <w:shd w:val="clear" w:color="auto" w:fill="FFFFFF"/>
        </w:rPr>
        <w:t>has under current law</w:t>
      </w:r>
      <w:r>
        <w:rPr>
          <w:color w:val="000000"/>
          <w:shd w:val="clear" w:color="auto" w:fill="FFFFFF"/>
        </w:rPr>
        <w:t xml:space="preserve"> the authority to exempt up to 20 percent of the value of the capital work in a given year within the different categories of capital work and design standards outlined in this bill. </w:t>
      </w:r>
      <w:r w:rsidR="00862F35" w:rsidRPr="00E532DE">
        <w:rPr>
          <w:color w:val="000000"/>
          <w:shd w:val="clear" w:color="auto" w:fill="FFFFFF"/>
        </w:rPr>
        <w:t xml:space="preserve">The bill would require the Mayor to </w:t>
      </w:r>
      <w:r w:rsidR="00253049">
        <w:rPr>
          <w:color w:val="000000"/>
          <w:shd w:val="clear" w:color="auto" w:fill="FFFFFF"/>
        </w:rPr>
        <w:t xml:space="preserve">submit a plan to the Speaker, and post online, </w:t>
      </w:r>
      <w:r w:rsidR="00E532DE">
        <w:rPr>
          <w:color w:val="000000"/>
          <w:shd w:val="clear" w:color="auto" w:fill="FFFFFF"/>
        </w:rPr>
        <w:t xml:space="preserve">by January 1, 2017 for </w:t>
      </w:r>
      <w:r w:rsidR="00253049">
        <w:rPr>
          <w:color w:val="000000"/>
          <w:shd w:val="clear" w:color="auto" w:fill="FFFFFF"/>
        </w:rPr>
        <w:t xml:space="preserve">ensuring that </w:t>
      </w:r>
      <w:r w:rsidR="00E532DE">
        <w:rPr>
          <w:color w:val="000000"/>
          <w:shd w:val="clear" w:color="auto" w:fill="FFFFFF"/>
        </w:rPr>
        <w:t xml:space="preserve">all eligible projects </w:t>
      </w:r>
      <w:r w:rsidR="00253049">
        <w:rPr>
          <w:color w:val="000000"/>
          <w:shd w:val="clear" w:color="auto" w:fill="FFFFFF"/>
        </w:rPr>
        <w:t xml:space="preserve">will </w:t>
      </w:r>
      <w:r w:rsidR="00E532DE">
        <w:rPr>
          <w:color w:val="000000"/>
          <w:shd w:val="clear" w:color="auto" w:fill="FFFFFF"/>
        </w:rPr>
        <w:t>meet passive house standards by 2030</w:t>
      </w:r>
      <w:r w:rsidR="00862F35" w:rsidRPr="00E532DE">
        <w:rPr>
          <w:color w:val="000000"/>
          <w:shd w:val="clear" w:color="auto" w:fill="FFFFFF"/>
        </w:rPr>
        <w:t xml:space="preserve">. The Mayor would also be required to produce a triennial report containing recommended practices for designing and constructing </w:t>
      </w:r>
      <w:r w:rsidR="00253049">
        <w:rPr>
          <w:color w:val="000000"/>
          <w:shd w:val="clear" w:color="auto" w:fill="FFFFFF"/>
        </w:rPr>
        <w:t>low energy intensity buildings</w:t>
      </w:r>
      <w:r w:rsidR="00862F35" w:rsidRPr="00E532DE">
        <w:rPr>
          <w:color w:val="000000"/>
          <w:shd w:val="clear" w:color="auto" w:fill="FFFFFF"/>
        </w:rPr>
        <w:t>.</w:t>
      </w:r>
      <w:r w:rsidR="00086D4D">
        <w:rPr>
          <w:color w:val="000000"/>
          <w:shd w:val="clear" w:color="auto" w:fill="FFFFFF"/>
        </w:rPr>
        <w:t xml:space="preserve"> </w:t>
      </w:r>
    </w:p>
    <w:p w14:paraId="45FC255A" w14:textId="45911417" w:rsidR="00F8458D" w:rsidRDefault="00EF6E5A" w:rsidP="00BF5CC3">
      <w:pPr>
        <w:spacing w:before="240"/>
        <w:contextualSpacing/>
        <w:rPr>
          <w:b/>
          <w:smallCaps/>
          <w:sz w:val="22"/>
          <w:szCs w:val="22"/>
        </w:rPr>
      </w:pPr>
      <w:r w:rsidRPr="00126707">
        <w:rPr>
          <w:b/>
          <w:smallCaps/>
          <w:sz w:val="22"/>
          <w:szCs w:val="22"/>
        </w:rPr>
        <w:lastRenderedPageBreak/>
        <w:t xml:space="preserve">Effective Date: </w:t>
      </w:r>
      <w:r w:rsidR="00862F35" w:rsidRPr="00D02D31">
        <w:t xml:space="preserve">This local law </w:t>
      </w:r>
      <w:r w:rsidR="00CF6A77">
        <w:t>would</w:t>
      </w:r>
      <w:r w:rsidR="00CF6A77" w:rsidRPr="00D02D31">
        <w:t xml:space="preserve"> </w:t>
      </w:r>
      <w:r w:rsidR="00862F35" w:rsidRPr="00D02D31">
        <w:t>take effect</w:t>
      </w:r>
      <w:r w:rsidR="00862F35">
        <w:t xml:space="preserve"> on the same date that a local law amending the New York city charter, in relation to green building standards for certain capital projects, as proposed in introduction number 721-A for the year 2016, takes effect</w:t>
      </w:r>
      <w:r w:rsidR="00862F35" w:rsidRPr="00D02D31">
        <w:t>.</w:t>
      </w:r>
    </w:p>
    <w:p w14:paraId="59F4910D" w14:textId="6191053F" w:rsidR="002D2B5C" w:rsidRPr="00E8582C" w:rsidRDefault="00EF6E5A" w:rsidP="00EF6E5A">
      <w:pPr>
        <w:spacing w:before="240"/>
      </w:pPr>
      <w:r w:rsidRPr="00126707">
        <w:rPr>
          <w:b/>
          <w:smallCaps/>
          <w:sz w:val="22"/>
          <w:szCs w:val="22"/>
        </w:rPr>
        <w:t xml:space="preserve">Fiscal Year In Which Full Fiscal Impact Anticipated: </w:t>
      </w:r>
      <w:r w:rsidR="00862F35">
        <w:t>Fiscal 2018</w:t>
      </w:r>
    </w:p>
    <w:p w14:paraId="73BD9C64" w14:textId="77777777" w:rsidR="00EF6E5A" w:rsidRDefault="00EF6E5A" w:rsidP="00EF6E5A">
      <w:pPr>
        <w:pBdr>
          <w:top w:val="single" w:sz="4" w:space="1" w:color="auto"/>
        </w:pBdr>
        <w:spacing w:before="240"/>
        <w:rPr>
          <w:b/>
          <w:smallCaps/>
          <w:sz w:val="22"/>
          <w:szCs w:val="22"/>
        </w:rPr>
      </w:pPr>
      <w:r>
        <w:rPr>
          <w:b/>
          <w:smallCaps/>
          <w:sz w:val="22"/>
          <w:szCs w:val="22"/>
        </w:rPr>
        <w:t>Fiscal Impact Statement:</w:t>
      </w:r>
    </w:p>
    <w:p w14:paraId="4C258DB5" w14:textId="77777777" w:rsidR="00EF6E5A" w:rsidRDefault="00EF6E5A" w:rsidP="00EF6E5A">
      <w:pPr>
        <w:pStyle w:val="NoSpacing"/>
      </w:pPr>
    </w:p>
    <w:tbl>
      <w:tblPr>
        <w:tblW w:w="0" w:type="auto"/>
        <w:jc w:val="center"/>
        <w:tblCellMar>
          <w:left w:w="141" w:type="dxa"/>
          <w:right w:w="141" w:type="dxa"/>
        </w:tblCellMar>
        <w:tblLook w:val="0000" w:firstRow="0" w:lastRow="0" w:firstColumn="0" w:lastColumn="0" w:noHBand="0" w:noVBand="0"/>
      </w:tblPr>
      <w:tblGrid>
        <w:gridCol w:w="1692"/>
        <w:gridCol w:w="2055"/>
        <w:gridCol w:w="1980"/>
        <w:gridCol w:w="1886"/>
      </w:tblGrid>
      <w:tr w:rsidR="00EF6E5A" w:rsidRPr="00706E47" w14:paraId="0AC6F107" w14:textId="77777777" w:rsidTr="002D2B5C">
        <w:trPr>
          <w:jc w:val="center"/>
        </w:trPr>
        <w:tc>
          <w:tcPr>
            <w:tcW w:w="1692" w:type="dxa"/>
            <w:tcBorders>
              <w:top w:val="double" w:sz="7" w:space="0" w:color="000000"/>
              <w:left w:val="double" w:sz="7" w:space="0" w:color="000000"/>
              <w:bottom w:val="single" w:sz="6" w:space="0" w:color="FFFFFF"/>
              <w:right w:val="single" w:sz="6" w:space="0" w:color="FFFFFF"/>
            </w:tcBorders>
          </w:tcPr>
          <w:p w14:paraId="57BA2973" w14:textId="77777777" w:rsidR="00EF6E5A" w:rsidRPr="00706E47" w:rsidRDefault="00EF6E5A" w:rsidP="00994D14">
            <w:pPr>
              <w:spacing w:line="201" w:lineRule="exact"/>
              <w:jc w:val="center"/>
              <w:rPr>
                <w:sz w:val="18"/>
                <w:szCs w:val="18"/>
              </w:rPr>
            </w:pPr>
          </w:p>
          <w:p w14:paraId="1BD512AC" w14:textId="77777777" w:rsidR="00EF6E5A" w:rsidRPr="00706E47" w:rsidRDefault="00EF6E5A" w:rsidP="00994D14">
            <w:pPr>
              <w:jc w:val="center"/>
              <w:rPr>
                <w:b/>
                <w:bCs/>
                <w:sz w:val="18"/>
                <w:szCs w:val="18"/>
              </w:rPr>
            </w:pPr>
          </w:p>
        </w:tc>
        <w:tc>
          <w:tcPr>
            <w:tcW w:w="2055" w:type="dxa"/>
            <w:tcBorders>
              <w:top w:val="double" w:sz="7" w:space="0" w:color="000000"/>
              <w:left w:val="single" w:sz="7" w:space="0" w:color="000000"/>
              <w:bottom w:val="single" w:sz="6" w:space="0" w:color="FFFFFF"/>
              <w:right w:val="single" w:sz="6" w:space="0" w:color="FFFFFF"/>
            </w:tcBorders>
          </w:tcPr>
          <w:p w14:paraId="583A078E" w14:textId="77777777" w:rsidR="00EF6E5A" w:rsidRPr="00706E47" w:rsidRDefault="00EF6E5A" w:rsidP="00994D14">
            <w:pPr>
              <w:spacing w:line="201" w:lineRule="exact"/>
              <w:jc w:val="center"/>
              <w:rPr>
                <w:b/>
                <w:bCs/>
                <w:sz w:val="18"/>
                <w:szCs w:val="18"/>
              </w:rPr>
            </w:pPr>
          </w:p>
          <w:p w14:paraId="4540BFD5" w14:textId="77777777" w:rsidR="00EF6E5A" w:rsidRPr="00706E47" w:rsidRDefault="00EF6E5A" w:rsidP="00994D14">
            <w:pPr>
              <w:jc w:val="center"/>
              <w:rPr>
                <w:b/>
                <w:bCs/>
                <w:sz w:val="18"/>
                <w:szCs w:val="18"/>
              </w:rPr>
            </w:pPr>
          </w:p>
          <w:p w14:paraId="600C21C6" w14:textId="513A3E55" w:rsidR="00EF6E5A" w:rsidRPr="00706E47" w:rsidRDefault="00753590" w:rsidP="00994D14">
            <w:pPr>
              <w:jc w:val="center"/>
              <w:rPr>
                <w:b/>
                <w:bCs/>
                <w:sz w:val="18"/>
                <w:szCs w:val="18"/>
              </w:rPr>
            </w:pPr>
            <w:r>
              <w:rPr>
                <w:b/>
                <w:bCs/>
                <w:sz w:val="18"/>
                <w:szCs w:val="18"/>
              </w:rPr>
              <w:t>Effective FY1</w:t>
            </w:r>
            <w:r w:rsidR="00E3440C">
              <w:rPr>
                <w:b/>
                <w:bCs/>
                <w:sz w:val="18"/>
                <w:szCs w:val="18"/>
              </w:rPr>
              <w:t>6</w:t>
            </w:r>
          </w:p>
          <w:p w14:paraId="4C788923" w14:textId="77777777" w:rsidR="00EF6E5A" w:rsidRPr="00706E47" w:rsidRDefault="00EF6E5A" w:rsidP="00994D14">
            <w:pPr>
              <w:jc w:val="center"/>
              <w:rPr>
                <w:b/>
                <w:bCs/>
                <w:sz w:val="18"/>
                <w:szCs w:val="18"/>
              </w:rPr>
            </w:pPr>
          </w:p>
        </w:tc>
        <w:tc>
          <w:tcPr>
            <w:tcW w:w="1980" w:type="dxa"/>
            <w:tcBorders>
              <w:top w:val="double" w:sz="7" w:space="0" w:color="000000"/>
              <w:left w:val="single" w:sz="7" w:space="0" w:color="000000"/>
              <w:bottom w:val="single" w:sz="6" w:space="0" w:color="FFFFFF"/>
              <w:right w:val="single" w:sz="6" w:space="0" w:color="FFFFFF"/>
            </w:tcBorders>
          </w:tcPr>
          <w:p w14:paraId="4731E63F" w14:textId="77777777" w:rsidR="00EF6E5A" w:rsidRPr="00706E47" w:rsidRDefault="00EF6E5A" w:rsidP="00994D14">
            <w:pPr>
              <w:spacing w:line="201" w:lineRule="exact"/>
              <w:jc w:val="center"/>
              <w:rPr>
                <w:b/>
                <w:bCs/>
                <w:sz w:val="18"/>
                <w:szCs w:val="18"/>
              </w:rPr>
            </w:pPr>
          </w:p>
          <w:p w14:paraId="605AD341" w14:textId="77777777" w:rsidR="00EF6E5A" w:rsidRPr="00706E47" w:rsidRDefault="00EF6E5A" w:rsidP="00994D14">
            <w:pPr>
              <w:jc w:val="center"/>
              <w:rPr>
                <w:b/>
                <w:bCs/>
                <w:sz w:val="18"/>
                <w:szCs w:val="18"/>
              </w:rPr>
            </w:pPr>
            <w:r w:rsidRPr="00706E47">
              <w:rPr>
                <w:b/>
                <w:bCs/>
                <w:sz w:val="18"/>
                <w:szCs w:val="18"/>
              </w:rPr>
              <w:t>FY Succeeding</w:t>
            </w:r>
          </w:p>
          <w:p w14:paraId="176752B0" w14:textId="4276184C" w:rsidR="00EF6E5A" w:rsidRPr="00706E47" w:rsidRDefault="00EF6E5A" w:rsidP="00753590">
            <w:pPr>
              <w:jc w:val="center"/>
              <w:rPr>
                <w:b/>
                <w:bCs/>
                <w:sz w:val="18"/>
                <w:szCs w:val="18"/>
              </w:rPr>
            </w:pPr>
            <w:r w:rsidRPr="00706E47">
              <w:rPr>
                <w:b/>
                <w:bCs/>
                <w:sz w:val="18"/>
                <w:szCs w:val="18"/>
              </w:rPr>
              <w:t>Effective FY1</w:t>
            </w:r>
            <w:r w:rsidR="00E3440C">
              <w:rPr>
                <w:b/>
                <w:bCs/>
                <w:sz w:val="18"/>
                <w:szCs w:val="18"/>
              </w:rPr>
              <w:t>7</w:t>
            </w:r>
          </w:p>
        </w:tc>
        <w:tc>
          <w:tcPr>
            <w:tcW w:w="1886" w:type="dxa"/>
            <w:tcBorders>
              <w:top w:val="double" w:sz="7" w:space="0" w:color="000000"/>
              <w:left w:val="single" w:sz="7" w:space="0" w:color="000000"/>
              <w:bottom w:val="single" w:sz="6" w:space="0" w:color="FFFFFF"/>
              <w:right w:val="double" w:sz="7" w:space="0" w:color="000000"/>
            </w:tcBorders>
          </w:tcPr>
          <w:p w14:paraId="71DBD6E4" w14:textId="77777777" w:rsidR="00EF6E5A" w:rsidRPr="00706E47" w:rsidRDefault="00EF6E5A" w:rsidP="00994D14">
            <w:pPr>
              <w:spacing w:line="201" w:lineRule="exact"/>
              <w:jc w:val="center"/>
              <w:rPr>
                <w:b/>
                <w:bCs/>
                <w:sz w:val="18"/>
                <w:szCs w:val="18"/>
              </w:rPr>
            </w:pPr>
          </w:p>
          <w:p w14:paraId="19CFE86F" w14:textId="77777777" w:rsidR="00EF6E5A" w:rsidRPr="00706E47" w:rsidRDefault="00EF6E5A" w:rsidP="00994D14">
            <w:pPr>
              <w:jc w:val="center"/>
              <w:rPr>
                <w:b/>
                <w:bCs/>
                <w:sz w:val="18"/>
                <w:szCs w:val="18"/>
              </w:rPr>
            </w:pPr>
            <w:r w:rsidRPr="00706E47">
              <w:rPr>
                <w:b/>
                <w:bCs/>
                <w:sz w:val="18"/>
                <w:szCs w:val="18"/>
              </w:rPr>
              <w:t>Full Fiscal</w:t>
            </w:r>
          </w:p>
          <w:p w14:paraId="5814AAB0" w14:textId="478EF825" w:rsidR="00EF6E5A" w:rsidRPr="00706E47" w:rsidRDefault="00EF6E5A" w:rsidP="00994D14">
            <w:pPr>
              <w:jc w:val="center"/>
              <w:rPr>
                <w:b/>
                <w:bCs/>
                <w:sz w:val="18"/>
                <w:szCs w:val="18"/>
              </w:rPr>
            </w:pPr>
            <w:r>
              <w:rPr>
                <w:b/>
                <w:bCs/>
                <w:sz w:val="18"/>
                <w:szCs w:val="18"/>
              </w:rPr>
              <w:t>Impact FY1</w:t>
            </w:r>
            <w:r w:rsidR="00CF6A77">
              <w:rPr>
                <w:b/>
                <w:bCs/>
                <w:sz w:val="18"/>
                <w:szCs w:val="18"/>
              </w:rPr>
              <w:t>8</w:t>
            </w:r>
          </w:p>
          <w:p w14:paraId="2BE4FCE7" w14:textId="77777777" w:rsidR="00EF6E5A" w:rsidRPr="00706E47" w:rsidRDefault="00EF6E5A" w:rsidP="00994D14">
            <w:pPr>
              <w:jc w:val="center"/>
              <w:rPr>
                <w:b/>
                <w:bCs/>
                <w:sz w:val="18"/>
                <w:szCs w:val="18"/>
              </w:rPr>
            </w:pPr>
          </w:p>
        </w:tc>
      </w:tr>
      <w:tr w:rsidR="00EF6E5A" w:rsidRPr="00484393" w14:paraId="45D93F72" w14:textId="77777777" w:rsidTr="002D2B5C">
        <w:trPr>
          <w:jc w:val="center"/>
        </w:trPr>
        <w:tc>
          <w:tcPr>
            <w:tcW w:w="1692" w:type="dxa"/>
            <w:tcBorders>
              <w:top w:val="single" w:sz="7" w:space="0" w:color="000000"/>
              <w:left w:val="double" w:sz="7" w:space="0" w:color="000000"/>
              <w:bottom w:val="single" w:sz="6" w:space="0" w:color="FFFFFF"/>
              <w:right w:val="single" w:sz="6" w:space="0" w:color="FFFFFF"/>
            </w:tcBorders>
          </w:tcPr>
          <w:p w14:paraId="0D195B7C" w14:textId="77777777" w:rsidR="00EF6E5A" w:rsidRPr="00484393" w:rsidRDefault="00EF6E5A" w:rsidP="00994D14">
            <w:pPr>
              <w:spacing w:line="163" w:lineRule="exact"/>
              <w:jc w:val="center"/>
              <w:rPr>
                <w:b/>
                <w:bCs/>
                <w:sz w:val="18"/>
                <w:szCs w:val="18"/>
              </w:rPr>
            </w:pPr>
          </w:p>
          <w:p w14:paraId="20D75188" w14:textId="77777777" w:rsidR="00EF6E5A" w:rsidRPr="00484393" w:rsidRDefault="00EF6E5A" w:rsidP="00994D14">
            <w:pPr>
              <w:jc w:val="center"/>
              <w:rPr>
                <w:b/>
                <w:bCs/>
                <w:sz w:val="18"/>
                <w:szCs w:val="18"/>
              </w:rPr>
            </w:pPr>
            <w:r w:rsidRPr="00484393">
              <w:rPr>
                <w:b/>
                <w:bCs/>
                <w:sz w:val="18"/>
                <w:szCs w:val="18"/>
              </w:rPr>
              <w:t xml:space="preserve">Revenues </w:t>
            </w:r>
          </w:p>
        </w:tc>
        <w:tc>
          <w:tcPr>
            <w:tcW w:w="2055" w:type="dxa"/>
            <w:tcBorders>
              <w:top w:val="single" w:sz="7" w:space="0" w:color="000000"/>
              <w:left w:val="single" w:sz="7" w:space="0" w:color="000000"/>
              <w:bottom w:val="single" w:sz="6" w:space="0" w:color="FFFFFF"/>
              <w:right w:val="single" w:sz="6" w:space="0" w:color="FFFFFF"/>
            </w:tcBorders>
          </w:tcPr>
          <w:p w14:paraId="7F5F8BB2" w14:textId="77777777" w:rsidR="00EF6E5A" w:rsidRDefault="00EF6E5A" w:rsidP="00994D14">
            <w:pPr>
              <w:jc w:val="center"/>
            </w:pPr>
            <w:r w:rsidRPr="008E1833">
              <w:rPr>
                <w:bCs/>
              </w:rPr>
              <w:t>$0</w:t>
            </w:r>
          </w:p>
        </w:tc>
        <w:tc>
          <w:tcPr>
            <w:tcW w:w="1980" w:type="dxa"/>
            <w:tcBorders>
              <w:top w:val="single" w:sz="7" w:space="0" w:color="000000"/>
              <w:left w:val="single" w:sz="7" w:space="0" w:color="000000"/>
              <w:bottom w:val="single" w:sz="6" w:space="0" w:color="FFFFFF"/>
              <w:right w:val="single" w:sz="6" w:space="0" w:color="FFFFFF"/>
            </w:tcBorders>
          </w:tcPr>
          <w:p w14:paraId="0F7F1BD6" w14:textId="77777777" w:rsidR="00EF6E5A" w:rsidRDefault="00EF6E5A" w:rsidP="00994D14">
            <w:pPr>
              <w:jc w:val="center"/>
            </w:pPr>
            <w:r w:rsidRPr="008E1833">
              <w:rPr>
                <w:bCs/>
              </w:rPr>
              <w:t>$0</w:t>
            </w:r>
          </w:p>
        </w:tc>
        <w:tc>
          <w:tcPr>
            <w:tcW w:w="1886" w:type="dxa"/>
            <w:tcBorders>
              <w:top w:val="single" w:sz="7" w:space="0" w:color="000000"/>
              <w:left w:val="single" w:sz="7" w:space="0" w:color="000000"/>
              <w:bottom w:val="single" w:sz="6" w:space="0" w:color="FFFFFF"/>
              <w:right w:val="double" w:sz="7" w:space="0" w:color="000000"/>
            </w:tcBorders>
          </w:tcPr>
          <w:p w14:paraId="1A5B9113" w14:textId="77777777" w:rsidR="00EF6E5A" w:rsidRDefault="00EF6E5A" w:rsidP="00994D14">
            <w:pPr>
              <w:jc w:val="center"/>
            </w:pPr>
            <w:r w:rsidRPr="008E1833">
              <w:rPr>
                <w:bCs/>
              </w:rPr>
              <w:t>$0</w:t>
            </w:r>
          </w:p>
        </w:tc>
      </w:tr>
      <w:tr w:rsidR="002D2B5C" w:rsidRPr="00484393" w14:paraId="099E3F3C" w14:textId="77777777" w:rsidTr="002D2B5C">
        <w:trPr>
          <w:trHeight w:val="262"/>
          <w:jc w:val="center"/>
        </w:trPr>
        <w:tc>
          <w:tcPr>
            <w:tcW w:w="1692" w:type="dxa"/>
            <w:tcBorders>
              <w:top w:val="single" w:sz="7" w:space="0" w:color="000000"/>
              <w:left w:val="double" w:sz="7" w:space="0" w:color="000000"/>
              <w:bottom w:val="single" w:sz="6" w:space="0" w:color="FFFFFF"/>
              <w:right w:val="single" w:sz="6" w:space="0" w:color="FFFFFF"/>
            </w:tcBorders>
          </w:tcPr>
          <w:p w14:paraId="3A63E56F" w14:textId="77777777" w:rsidR="002D2B5C" w:rsidRPr="00484393" w:rsidRDefault="002D2B5C" w:rsidP="00994D14">
            <w:pPr>
              <w:spacing w:line="163" w:lineRule="exact"/>
              <w:jc w:val="center"/>
              <w:rPr>
                <w:b/>
                <w:bCs/>
                <w:sz w:val="18"/>
                <w:szCs w:val="18"/>
              </w:rPr>
            </w:pPr>
          </w:p>
          <w:p w14:paraId="2565B82E" w14:textId="77777777" w:rsidR="002D2B5C" w:rsidRPr="00484393" w:rsidRDefault="002D2B5C" w:rsidP="00994D14">
            <w:pPr>
              <w:jc w:val="center"/>
              <w:rPr>
                <w:b/>
                <w:bCs/>
                <w:sz w:val="18"/>
                <w:szCs w:val="18"/>
              </w:rPr>
            </w:pPr>
            <w:r w:rsidRPr="00484393">
              <w:rPr>
                <w:b/>
                <w:bCs/>
                <w:sz w:val="18"/>
                <w:szCs w:val="18"/>
              </w:rPr>
              <w:t xml:space="preserve">Expenditures </w:t>
            </w:r>
          </w:p>
        </w:tc>
        <w:tc>
          <w:tcPr>
            <w:tcW w:w="2055" w:type="dxa"/>
            <w:tcBorders>
              <w:top w:val="single" w:sz="7" w:space="0" w:color="000000"/>
              <w:left w:val="single" w:sz="7" w:space="0" w:color="000000"/>
              <w:bottom w:val="single" w:sz="6" w:space="0" w:color="FFFFFF"/>
              <w:right w:val="single" w:sz="6" w:space="0" w:color="FFFFFF"/>
            </w:tcBorders>
          </w:tcPr>
          <w:p w14:paraId="4A5782EB" w14:textId="52D289CB" w:rsidR="002D2B5C" w:rsidRDefault="00CF6A77" w:rsidP="00994D14">
            <w:pPr>
              <w:jc w:val="center"/>
            </w:pPr>
            <w:r>
              <w:rPr>
                <w:bCs/>
              </w:rPr>
              <w:t>$0</w:t>
            </w:r>
          </w:p>
        </w:tc>
        <w:tc>
          <w:tcPr>
            <w:tcW w:w="1980" w:type="dxa"/>
            <w:tcBorders>
              <w:top w:val="single" w:sz="7" w:space="0" w:color="000000"/>
              <w:left w:val="single" w:sz="7" w:space="0" w:color="000000"/>
              <w:bottom w:val="single" w:sz="6" w:space="0" w:color="FFFFFF"/>
              <w:right w:val="single" w:sz="6" w:space="0" w:color="FFFFFF"/>
            </w:tcBorders>
          </w:tcPr>
          <w:p w14:paraId="1A4652C8" w14:textId="71FD0F3A" w:rsidR="002D2B5C" w:rsidRDefault="00E3440C" w:rsidP="00B21666">
            <w:pPr>
              <w:jc w:val="center"/>
            </w:pPr>
            <w:r>
              <w:rPr>
                <w:bCs/>
              </w:rPr>
              <w:t>$0</w:t>
            </w:r>
          </w:p>
        </w:tc>
        <w:tc>
          <w:tcPr>
            <w:tcW w:w="1886" w:type="dxa"/>
            <w:tcBorders>
              <w:top w:val="single" w:sz="7" w:space="0" w:color="000000"/>
              <w:left w:val="single" w:sz="7" w:space="0" w:color="000000"/>
              <w:bottom w:val="single" w:sz="6" w:space="0" w:color="FFFFFF"/>
              <w:right w:val="double" w:sz="7" w:space="0" w:color="000000"/>
            </w:tcBorders>
          </w:tcPr>
          <w:p w14:paraId="16E27B3B" w14:textId="706999FC" w:rsidR="002D2B5C" w:rsidRDefault="002D2B5C" w:rsidP="00994D14">
            <w:pPr>
              <w:jc w:val="center"/>
            </w:pPr>
            <w:r>
              <w:rPr>
                <w:bCs/>
              </w:rPr>
              <w:t>Not Estimable*</w:t>
            </w:r>
          </w:p>
        </w:tc>
      </w:tr>
      <w:tr w:rsidR="00EF6E5A" w:rsidRPr="00484393" w14:paraId="10224AF8" w14:textId="77777777" w:rsidTr="002D2B5C">
        <w:trPr>
          <w:jc w:val="center"/>
        </w:trPr>
        <w:tc>
          <w:tcPr>
            <w:tcW w:w="1692" w:type="dxa"/>
            <w:tcBorders>
              <w:top w:val="single" w:sz="7" w:space="0" w:color="000000"/>
              <w:left w:val="double" w:sz="7" w:space="0" w:color="000000"/>
              <w:bottom w:val="single" w:sz="7" w:space="0" w:color="000000"/>
              <w:right w:val="single" w:sz="6" w:space="0" w:color="FFFFFF"/>
            </w:tcBorders>
          </w:tcPr>
          <w:p w14:paraId="16EC8823" w14:textId="77777777" w:rsidR="00EF6E5A" w:rsidRPr="00484393" w:rsidRDefault="00EF6E5A" w:rsidP="00994D14">
            <w:pPr>
              <w:spacing w:line="163" w:lineRule="exact"/>
              <w:jc w:val="center"/>
              <w:rPr>
                <w:b/>
                <w:bCs/>
                <w:sz w:val="18"/>
                <w:szCs w:val="18"/>
              </w:rPr>
            </w:pPr>
          </w:p>
          <w:p w14:paraId="0B2F680E" w14:textId="77777777" w:rsidR="00EF6E5A" w:rsidRPr="00484393" w:rsidRDefault="00EF6E5A" w:rsidP="00994D14">
            <w:pPr>
              <w:spacing w:after="58"/>
              <w:jc w:val="center"/>
              <w:rPr>
                <w:b/>
                <w:bCs/>
                <w:sz w:val="18"/>
                <w:szCs w:val="18"/>
              </w:rPr>
            </w:pPr>
            <w:r w:rsidRPr="00484393">
              <w:rPr>
                <w:b/>
                <w:bCs/>
                <w:sz w:val="18"/>
                <w:szCs w:val="18"/>
              </w:rPr>
              <w:t>Net</w:t>
            </w:r>
          </w:p>
        </w:tc>
        <w:tc>
          <w:tcPr>
            <w:tcW w:w="2055" w:type="dxa"/>
            <w:tcBorders>
              <w:top w:val="single" w:sz="7" w:space="0" w:color="000000"/>
              <w:left w:val="single" w:sz="7" w:space="0" w:color="000000"/>
              <w:bottom w:val="single" w:sz="7" w:space="0" w:color="000000"/>
              <w:right w:val="single" w:sz="6" w:space="0" w:color="FFFFFF"/>
            </w:tcBorders>
          </w:tcPr>
          <w:p w14:paraId="34B7A38C" w14:textId="77777777" w:rsidR="00EF6E5A" w:rsidRDefault="00EF6E5A" w:rsidP="00994D14">
            <w:pPr>
              <w:jc w:val="center"/>
            </w:pPr>
            <w:r w:rsidRPr="008E1833">
              <w:rPr>
                <w:bCs/>
              </w:rPr>
              <w:t>$0</w:t>
            </w:r>
          </w:p>
        </w:tc>
        <w:tc>
          <w:tcPr>
            <w:tcW w:w="1980" w:type="dxa"/>
            <w:tcBorders>
              <w:top w:val="single" w:sz="7" w:space="0" w:color="000000"/>
              <w:left w:val="single" w:sz="7" w:space="0" w:color="000000"/>
              <w:bottom w:val="single" w:sz="7" w:space="0" w:color="000000"/>
              <w:right w:val="single" w:sz="6" w:space="0" w:color="FFFFFF"/>
            </w:tcBorders>
          </w:tcPr>
          <w:p w14:paraId="040A1020" w14:textId="77777777" w:rsidR="00EF6E5A" w:rsidRDefault="00EF6E5A" w:rsidP="00994D14">
            <w:pPr>
              <w:jc w:val="center"/>
            </w:pPr>
            <w:r w:rsidRPr="008E1833">
              <w:rPr>
                <w:bCs/>
              </w:rPr>
              <w:t>$0</w:t>
            </w:r>
          </w:p>
        </w:tc>
        <w:tc>
          <w:tcPr>
            <w:tcW w:w="1886" w:type="dxa"/>
            <w:tcBorders>
              <w:top w:val="single" w:sz="7" w:space="0" w:color="000000"/>
              <w:left w:val="single" w:sz="7" w:space="0" w:color="000000"/>
              <w:bottom w:val="single" w:sz="7" w:space="0" w:color="000000"/>
              <w:right w:val="double" w:sz="7" w:space="0" w:color="000000"/>
            </w:tcBorders>
          </w:tcPr>
          <w:p w14:paraId="11193C12" w14:textId="77777777" w:rsidR="00EF6E5A" w:rsidRDefault="00EF6E5A" w:rsidP="00994D14">
            <w:pPr>
              <w:jc w:val="center"/>
            </w:pPr>
            <w:r w:rsidRPr="008E1833">
              <w:rPr>
                <w:bCs/>
              </w:rPr>
              <w:t>$0</w:t>
            </w:r>
          </w:p>
        </w:tc>
      </w:tr>
    </w:tbl>
    <w:p w14:paraId="0EA2CA10" w14:textId="77777777" w:rsidR="00EF6E5A" w:rsidRPr="00484393" w:rsidRDefault="00EF6E5A" w:rsidP="00EF6E5A">
      <w:pPr>
        <w:rPr>
          <w:b/>
          <w:smallCaps/>
          <w:sz w:val="22"/>
          <w:szCs w:val="22"/>
        </w:rPr>
      </w:pPr>
    </w:p>
    <w:p w14:paraId="5BC88505" w14:textId="51AA5CDF" w:rsidR="003905EA" w:rsidRDefault="00EF6E5A" w:rsidP="003905EA">
      <w:r w:rsidRPr="00A82EAF">
        <w:rPr>
          <w:b/>
          <w:smallCaps/>
          <w:sz w:val="22"/>
          <w:szCs w:val="22"/>
        </w:rPr>
        <w:t>Impact on Revenues</w:t>
      </w:r>
      <w:r w:rsidR="00A82EAF" w:rsidRPr="00A82EAF">
        <w:rPr>
          <w:b/>
          <w:smallCaps/>
          <w:sz w:val="22"/>
          <w:szCs w:val="22"/>
        </w:rPr>
        <w:t xml:space="preserve"> &amp; Expenditures</w:t>
      </w:r>
      <w:r w:rsidRPr="00A82EAF">
        <w:rPr>
          <w:smallCaps/>
          <w:sz w:val="22"/>
          <w:szCs w:val="22"/>
        </w:rPr>
        <w:t xml:space="preserve">: </w:t>
      </w:r>
      <w:r w:rsidR="00E3326E">
        <w:t>T</w:t>
      </w:r>
      <w:r w:rsidR="003905EA">
        <w:t>his bill</w:t>
      </w:r>
      <w:r w:rsidR="003905EA" w:rsidRPr="003905EA">
        <w:t xml:space="preserve"> would not impact any items currently in the capital plan</w:t>
      </w:r>
      <w:r w:rsidR="00E3326E">
        <w:t xml:space="preserve"> because it applies only to capital projects added to the plan on or after July 1, 2017</w:t>
      </w:r>
      <w:r w:rsidR="00BF5CC3">
        <w:t xml:space="preserve"> (i.e. Fiscal 2018 and later)</w:t>
      </w:r>
      <w:r w:rsidR="00E3326E">
        <w:t xml:space="preserve">. Council Finance is unable to </w:t>
      </w:r>
      <w:r w:rsidR="003905EA" w:rsidRPr="003905EA">
        <w:t>predict wh</w:t>
      </w:r>
      <w:r w:rsidR="00E3326E">
        <w:t>ich</w:t>
      </w:r>
      <w:r w:rsidR="003905EA" w:rsidRPr="003905EA">
        <w:t xml:space="preserve"> will be added </w:t>
      </w:r>
      <w:r w:rsidR="00E3326E">
        <w:t>in the future</w:t>
      </w:r>
      <w:r w:rsidR="003905EA" w:rsidRPr="003905EA">
        <w:t>,</w:t>
      </w:r>
      <w:r w:rsidR="00E3326E">
        <w:t xml:space="preserve"> and, therefore,</w:t>
      </w:r>
      <w:r w:rsidR="003905EA" w:rsidRPr="003905EA">
        <w:t xml:space="preserve"> </w:t>
      </w:r>
      <w:r w:rsidR="003905EA">
        <w:t xml:space="preserve">is unable to reasonably estimate the </w:t>
      </w:r>
      <w:r w:rsidR="003905EA" w:rsidRPr="003905EA">
        <w:t xml:space="preserve">fiscal impact of </w:t>
      </w:r>
      <w:r w:rsidR="003905EA">
        <w:t>this bill</w:t>
      </w:r>
      <w:r w:rsidR="003905EA" w:rsidRPr="003905EA">
        <w:t xml:space="preserve">. </w:t>
      </w:r>
      <w:r w:rsidR="00E3326E">
        <w:t>While t</w:t>
      </w:r>
      <w:r w:rsidR="003905EA" w:rsidRPr="003905EA">
        <w:t>he current capital plan does currently extend through Fiscal 2019</w:t>
      </w:r>
      <w:r w:rsidR="00E3326E">
        <w:t>, the legislation would not apply to the projects already in the plan, even in Fiscal 2018 or 2019, so the current plan is not an accurate tool on which to base an estimate.</w:t>
      </w:r>
      <w:r w:rsidR="003905EA" w:rsidRPr="003905EA">
        <w:t xml:space="preserve"> </w:t>
      </w:r>
    </w:p>
    <w:p w14:paraId="1D6C45D8" w14:textId="77777777" w:rsidR="003905EA" w:rsidRPr="003905EA" w:rsidRDefault="003905EA" w:rsidP="003905EA"/>
    <w:p w14:paraId="36A40794" w14:textId="7717B43A" w:rsidR="003905EA" w:rsidRPr="003905EA" w:rsidRDefault="003905EA" w:rsidP="003905EA">
      <w:r w:rsidRPr="003905EA">
        <w:t xml:space="preserve">The City’s capital plan, by its very nature, is idiosyncratic and </w:t>
      </w:r>
      <w:r w:rsidR="00E3326E">
        <w:t>un</w:t>
      </w:r>
      <w:r w:rsidRPr="003905EA">
        <w:t xml:space="preserve">predictable beyond what is </w:t>
      </w:r>
      <w:r w:rsidR="00171721">
        <w:t>any current iteration</w:t>
      </w:r>
      <w:r w:rsidRPr="003905EA">
        <w:t xml:space="preserve">. The City does not allocate a set, repeated amount for housing or schools each year, but determines an amount needed based on civic priorities and perceived need.  It is more than likely that items will be added to the plan after July 1, 2017, but the nature, size, and amount </w:t>
      </w:r>
      <w:r w:rsidR="00171721">
        <w:t>cannot be determined at this time</w:t>
      </w:r>
      <w:r w:rsidRPr="003905EA">
        <w:t>.</w:t>
      </w:r>
    </w:p>
    <w:p w14:paraId="5DC035E6" w14:textId="77777777" w:rsidR="003905EA" w:rsidRDefault="003905EA" w:rsidP="003905EA"/>
    <w:p w14:paraId="62497C93" w14:textId="36395CD0" w:rsidR="003905EA" w:rsidRPr="003905EA" w:rsidRDefault="003905EA" w:rsidP="003905EA">
      <w:r w:rsidRPr="003905EA">
        <w:t xml:space="preserve">While the cost is not estimable, it is expected that </w:t>
      </w:r>
      <w:r w:rsidR="00171721">
        <w:t xml:space="preserve">Proposed </w:t>
      </w:r>
      <w:r w:rsidRPr="003905EA">
        <w:t>Intro</w:t>
      </w:r>
      <w:r w:rsidR="00171721">
        <w:t>.</w:t>
      </w:r>
      <w:r w:rsidRPr="003905EA">
        <w:t xml:space="preserve"> 701-</w:t>
      </w:r>
      <w:r w:rsidR="00920ADC">
        <w:t>A</w:t>
      </w:r>
      <w:r w:rsidR="00920ADC" w:rsidRPr="003905EA">
        <w:t xml:space="preserve"> </w:t>
      </w:r>
      <w:r w:rsidRPr="003905EA">
        <w:t>will have cost implications for capital projects added to the City’s budget in future years. To give a sense of what those costs could look like, Council Finance evaluated how the City’s expense costs would have shifted had the requirements of this bill and the related</w:t>
      </w:r>
      <w:r w:rsidR="00171721">
        <w:t xml:space="preserve"> Proposed</w:t>
      </w:r>
      <w:r w:rsidRPr="003905EA">
        <w:t xml:space="preserve"> Intro</w:t>
      </w:r>
      <w:r w:rsidR="00171721">
        <w:t>.</w:t>
      </w:r>
      <w:r w:rsidRPr="003905EA">
        <w:t xml:space="preserve"> 721-</w:t>
      </w:r>
      <w:r w:rsidR="00920ADC">
        <w:t>A</w:t>
      </w:r>
      <w:r w:rsidR="00BF5CC3">
        <w:t xml:space="preserve"> had</w:t>
      </w:r>
      <w:r w:rsidR="00920ADC" w:rsidRPr="003905EA">
        <w:t xml:space="preserve"> </w:t>
      </w:r>
      <w:r w:rsidRPr="003905EA">
        <w:t>been applied to the capital projects added in Fiscal 2015.</w:t>
      </w:r>
    </w:p>
    <w:p w14:paraId="31E0AEDE" w14:textId="77777777" w:rsidR="003905EA" w:rsidRDefault="003905EA" w:rsidP="003905EA"/>
    <w:p w14:paraId="383CFF26" w14:textId="77EA0E4F" w:rsidR="003905EA" w:rsidRPr="003905EA" w:rsidRDefault="003905EA" w:rsidP="003905EA">
      <w:r>
        <w:t>For purposes of this exercise, it was</w:t>
      </w:r>
      <w:r w:rsidRPr="003905EA">
        <w:t xml:space="preserve"> assumed that in meeting the LEED standards mandated by</w:t>
      </w:r>
      <w:r w:rsidR="00171721">
        <w:t xml:space="preserve"> Proposed</w:t>
      </w:r>
      <w:r w:rsidRPr="003905EA">
        <w:t xml:space="preserve"> Intro</w:t>
      </w:r>
      <w:r w:rsidR="00171721">
        <w:t>.</w:t>
      </w:r>
      <w:r w:rsidRPr="003905EA">
        <w:t xml:space="preserve"> 721-</w:t>
      </w:r>
      <w:r w:rsidR="00920ADC">
        <w:t>A</w:t>
      </w:r>
      <w:r w:rsidRPr="003905EA">
        <w:t xml:space="preserve"> a project could be designed to also meet the energy efficiency requirements of Intro 701-</w:t>
      </w:r>
      <w:r w:rsidR="00920ADC">
        <w:t>A</w:t>
      </w:r>
      <w:r w:rsidR="00920ADC" w:rsidRPr="003905EA">
        <w:t xml:space="preserve"> </w:t>
      </w:r>
      <w:r w:rsidRPr="003905EA">
        <w:t xml:space="preserve">at the same cost. Similarly, it </w:t>
      </w:r>
      <w:r w:rsidR="00171721">
        <w:t>wa</w:t>
      </w:r>
      <w:r w:rsidRPr="003905EA">
        <w:t xml:space="preserve">s assumed </w:t>
      </w:r>
      <w:r w:rsidR="00171721">
        <w:t xml:space="preserve">that </w:t>
      </w:r>
      <w:r w:rsidRPr="003905EA">
        <w:t xml:space="preserve">the energy savings associated with </w:t>
      </w:r>
      <w:r w:rsidR="00171721">
        <w:t xml:space="preserve">Proposed </w:t>
      </w:r>
      <w:r w:rsidRPr="003905EA">
        <w:t>Intro</w:t>
      </w:r>
      <w:r w:rsidR="00171721">
        <w:t>.</w:t>
      </w:r>
      <w:r w:rsidRPr="003905EA">
        <w:t xml:space="preserve"> 701-</w:t>
      </w:r>
      <w:r w:rsidR="00920ADC">
        <w:t>A</w:t>
      </w:r>
      <w:r w:rsidR="00920ADC" w:rsidRPr="003905EA">
        <w:t xml:space="preserve"> </w:t>
      </w:r>
      <w:r w:rsidRPr="003905EA">
        <w:t xml:space="preserve">would similarly overlap with that of </w:t>
      </w:r>
      <w:r w:rsidR="00171721">
        <w:t xml:space="preserve">Proposed </w:t>
      </w:r>
      <w:r w:rsidRPr="003905EA">
        <w:t>Intro</w:t>
      </w:r>
      <w:r w:rsidR="00171721">
        <w:t>.</w:t>
      </w:r>
      <w:r w:rsidRPr="003905EA">
        <w:t xml:space="preserve"> 721-</w:t>
      </w:r>
      <w:r w:rsidR="00920ADC">
        <w:t>A</w:t>
      </w:r>
      <w:r w:rsidRPr="003905EA">
        <w:t>.</w:t>
      </w:r>
    </w:p>
    <w:p w14:paraId="13A14D39" w14:textId="77777777" w:rsidR="003905EA" w:rsidRDefault="003905EA" w:rsidP="003905EA"/>
    <w:p w14:paraId="1715364A" w14:textId="1C7B0346" w:rsidR="003905EA" w:rsidRDefault="003905EA" w:rsidP="003905EA">
      <w:r w:rsidRPr="003905EA">
        <w:t>The September Commitment Plan in 2015 had about $10.1 billion in new capital projects added since the same plan the year before (i.e. Fiscal 2015). Of that, Council Finance estimates that $2.4 billion would</w:t>
      </w:r>
      <w:r w:rsidR="00171721">
        <w:t xml:space="preserve"> have</w:t>
      </w:r>
      <w:r w:rsidRPr="003905EA">
        <w:t xml:space="preserve"> be</w:t>
      </w:r>
      <w:r w:rsidR="00171721">
        <w:t>en</w:t>
      </w:r>
      <w:r w:rsidRPr="003905EA">
        <w:t xml:space="preserve"> impacted by the bill. To meet the requirements of </w:t>
      </w:r>
      <w:r w:rsidR="00171721">
        <w:t xml:space="preserve">Proposed </w:t>
      </w:r>
      <w:r w:rsidRPr="003905EA">
        <w:t>Intro</w:t>
      </w:r>
      <w:r w:rsidR="00BF5CC3">
        <w:t>s</w:t>
      </w:r>
      <w:r w:rsidR="00171721">
        <w:t>.</w:t>
      </w:r>
      <w:r w:rsidRPr="003905EA">
        <w:t xml:space="preserve"> 701-</w:t>
      </w:r>
      <w:r w:rsidR="00920ADC">
        <w:t>A</w:t>
      </w:r>
      <w:r w:rsidR="00171721">
        <w:t xml:space="preserve"> and </w:t>
      </w:r>
      <w:r w:rsidRPr="003905EA">
        <w:t>721-</w:t>
      </w:r>
      <w:r w:rsidR="00920ADC">
        <w:t>A</w:t>
      </w:r>
      <w:r w:rsidRPr="003905EA">
        <w:t xml:space="preserve">, capital costs would </w:t>
      </w:r>
      <w:r w:rsidR="00171721">
        <w:t>have increased</w:t>
      </w:r>
      <w:r w:rsidRPr="003905EA">
        <w:t xml:space="preserve"> about $213.6 million. Financing this over 30 years at a standard (though high by current borrowing rates) </w:t>
      </w:r>
      <w:r w:rsidR="00171721">
        <w:t>five</w:t>
      </w:r>
      <w:r w:rsidRPr="003905EA">
        <w:t xml:space="preserve"> percent</w:t>
      </w:r>
      <w:r w:rsidR="00171721">
        <w:t xml:space="preserve"> interest</w:t>
      </w:r>
      <w:r w:rsidRPr="003905EA">
        <w:t xml:space="preserve"> rate, the annual expense </w:t>
      </w:r>
      <w:r w:rsidR="00171721">
        <w:t>would have been</w:t>
      </w:r>
      <w:r w:rsidRPr="003905EA">
        <w:t xml:space="preserve"> $13.9 million. This would </w:t>
      </w:r>
      <w:r w:rsidR="00171721">
        <w:t xml:space="preserve">have </w:t>
      </w:r>
      <w:r w:rsidRPr="003905EA">
        <w:t>be</w:t>
      </w:r>
      <w:r w:rsidR="00171721">
        <w:t>en</w:t>
      </w:r>
      <w:r w:rsidRPr="003905EA">
        <w:t xml:space="preserve"> offset by about by energy cost savings of about $6.9 million</w:t>
      </w:r>
      <w:r w:rsidR="00171721">
        <w:t>,</w:t>
      </w:r>
      <w:r w:rsidRPr="003905EA">
        <w:t xml:space="preserve"> for a net cost of about $7 million in additional annual debt service costs for the next 30 years. </w:t>
      </w:r>
      <w:r w:rsidR="00171721">
        <w:t>This amount would have been</w:t>
      </w:r>
      <w:r w:rsidRPr="003905EA">
        <w:t xml:space="preserve"> the increase for one year of the capital plan. If the subsequent year </w:t>
      </w:r>
      <w:r w:rsidR="00171721">
        <w:t xml:space="preserve">had </w:t>
      </w:r>
      <w:r w:rsidRPr="003905EA">
        <w:t xml:space="preserve">added a similar amount of projects, the new net cost would </w:t>
      </w:r>
      <w:r w:rsidR="00171721">
        <w:t xml:space="preserve">have </w:t>
      </w:r>
      <w:r w:rsidRPr="003905EA">
        <w:t>be</w:t>
      </w:r>
      <w:r w:rsidR="00171721">
        <w:t>en</w:t>
      </w:r>
      <w:r w:rsidRPr="003905EA">
        <w:t xml:space="preserve"> $14 million in additional annual debt service costs.</w:t>
      </w:r>
    </w:p>
    <w:p w14:paraId="08A04171" w14:textId="77777777" w:rsidR="003905EA" w:rsidRPr="003905EA" w:rsidRDefault="003905EA" w:rsidP="003905EA"/>
    <w:p w14:paraId="030B01E6" w14:textId="77777777" w:rsidR="002D2B5C" w:rsidRDefault="002D2B5C">
      <w:pPr>
        <w:spacing w:after="200" w:line="276" w:lineRule="auto"/>
        <w:jc w:val="left"/>
      </w:pPr>
      <w:r>
        <w:br w:type="page"/>
      </w:r>
    </w:p>
    <w:p w14:paraId="23D0746D" w14:textId="3C8F8620" w:rsidR="003905EA" w:rsidRPr="003905EA" w:rsidRDefault="003905EA" w:rsidP="003905EA">
      <w:r w:rsidRPr="003905EA">
        <w:lastRenderedPageBreak/>
        <w:t xml:space="preserve">Assumptions </w:t>
      </w:r>
      <w:r w:rsidR="00171721">
        <w:t>made</w:t>
      </w:r>
      <w:r w:rsidR="00171721" w:rsidRPr="003905EA">
        <w:t xml:space="preserve"> </w:t>
      </w:r>
      <w:r w:rsidRPr="003905EA">
        <w:t>in this estimate include:</w:t>
      </w:r>
    </w:p>
    <w:p w14:paraId="0F0F2E47" w14:textId="378FA6B4" w:rsidR="003905EA" w:rsidRPr="003905EA" w:rsidRDefault="003905EA" w:rsidP="003905EA">
      <w:pPr>
        <w:numPr>
          <w:ilvl w:val="0"/>
          <w:numId w:val="1"/>
        </w:numPr>
      </w:pPr>
      <w:r w:rsidRPr="003905EA">
        <w:t>construction costs of about $400 per gross square foot</w:t>
      </w:r>
      <w:r w:rsidR="00171721">
        <w:t>;</w:t>
      </w:r>
    </w:p>
    <w:p w14:paraId="546F0181" w14:textId="1CFB28BA" w:rsidR="003905EA" w:rsidRPr="003905EA" w:rsidRDefault="003905EA" w:rsidP="003905EA">
      <w:pPr>
        <w:numPr>
          <w:ilvl w:val="0"/>
          <w:numId w:val="1"/>
        </w:numPr>
      </w:pPr>
      <w:r w:rsidRPr="003905EA">
        <w:t>construction cost surcharge of 7.5% to meet the higher standards</w:t>
      </w:r>
      <w:r w:rsidR="00171721">
        <w:t>;</w:t>
      </w:r>
    </w:p>
    <w:p w14:paraId="4199960B" w14:textId="6A56192C" w:rsidR="003905EA" w:rsidRPr="003905EA" w:rsidRDefault="003905EA" w:rsidP="003905EA">
      <w:pPr>
        <w:numPr>
          <w:ilvl w:val="0"/>
          <w:numId w:val="1"/>
        </w:numPr>
      </w:pPr>
      <w:r w:rsidRPr="003905EA">
        <w:t>LEED certification costs equivalent to 1.4% of total construction costs</w:t>
      </w:r>
      <w:r w:rsidR="00171721">
        <w:t>;</w:t>
      </w:r>
    </w:p>
    <w:p w14:paraId="3C1DF837" w14:textId="04109045" w:rsidR="003905EA" w:rsidRPr="003905EA" w:rsidRDefault="003905EA" w:rsidP="003905EA">
      <w:pPr>
        <w:numPr>
          <w:ilvl w:val="0"/>
          <w:numId w:val="1"/>
        </w:numPr>
      </w:pPr>
      <w:r w:rsidRPr="003905EA">
        <w:t>Energy costs of about $0.15 per kilowatt hour (</w:t>
      </w:r>
      <w:r w:rsidR="00920ADC">
        <w:t>kWh</w:t>
      </w:r>
      <w:r w:rsidRPr="003905EA">
        <w:t>)</w:t>
      </w:r>
      <w:r w:rsidR="00171721">
        <w:t>; and</w:t>
      </w:r>
    </w:p>
    <w:p w14:paraId="64C8361D" w14:textId="0A7B4E08" w:rsidR="003905EA" w:rsidRDefault="003905EA" w:rsidP="003905EA">
      <w:pPr>
        <w:numPr>
          <w:ilvl w:val="0"/>
          <w:numId w:val="1"/>
        </w:numPr>
      </w:pPr>
      <w:r w:rsidRPr="003905EA">
        <w:t xml:space="preserve">Energy usage of about 15 </w:t>
      </w:r>
      <w:r w:rsidR="00920ADC">
        <w:t>kWh</w:t>
      </w:r>
      <w:r w:rsidR="00920ADC" w:rsidRPr="003905EA">
        <w:t xml:space="preserve"> </w:t>
      </w:r>
      <w:r w:rsidRPr="003905EA">
        <w:t>per gross square foot</w:t>
      </w:r>
      <w:r w:rsidR="00171721">
        <w:t>.</w:t>
      </w:r>
    </w:p>
    <w:p w14:paraId="06FB2EF9" w14:textId="77777777" w:rsidR="003905EA" w:rsidRPr="003905EA" w:rsidRDefault="003905EA" w:rsidP="003905EA">
      <w:pPr>
        <w:ind w:left="770"/>
      </w:pPr>
    </w:p>
    <w:p w14:paraId="78E13A63" w14:textId="77777777" w:rsidR="00BF5CC3" w:rsidRDefault="003905EA" w:rsidP="00EF6E5A">
      <w:r w:rsidRPr="003905EA">
        <w:t>It should be noted that both</w:t>
      </w:r>
      <w:r w:rsidR="00171721">
        <w:t xml:space="preserve"> Proposed</w:t>
      </w:r>
      <w:r w:rsidRPr="003905EA">
        <w:t xml:space="preserve"> Intro</w:t>
      </w:r>
      <w:r w:rsidR="00171721">
        <w:t>.</w:t>
      </w:r>
      <w:r w:rsidRPr="003905EA">
        <w:t xml:space="preserve"> 701-</w:t>
      </w:r>
      <w:r w:rsidR="00920ADC">
        <w:t>A</w:t>
      </w:r>
      <w:r w:rsidR="00920ADC" w:rsidRPr="003905EA">
        <w:t xml:space="preserve"> </w:t>
      </w:r>
      <w:r w:rsidRPr="003905EA">
        <w:t>and 721-</w:t>
      </w:r>
      <w:r w:rsidR="00920ADC">
        <w:t>A</w:t>
      </w:r>
      <w:r w:rsidR="00920ADC" w:rsidRPr="003905EA">
        <w:t xml:space="preserve"> </w:t>
      </w:r>
      <w:r w:rsidRPr="003905EA">
        <w:t xml:space="preserve">give the Mayor discretion in setting lower targets for many of the standards required by the bills. </w:t>
      </w:r>
      <w:r w:rsidR="00171721">
        <w:t>If the Mayor were to do so</w:t>
      </w:r>
      <w:r w:rsidRPr="003905EA">
        <w:t>, the annual costs could be lower than what is presented here.</w:t>
      </w:r>
      <w:r w:rsidR="00207CA4">
        <w:t xml:space="preserve"> </w:t>
      </w:r>
    </w:p>
    <w:p w14:paraId="0A2CC783" w14:textId="77777777" w:rsidR="00BF5CC3" w:rsidRDefault="00BF5CC3" w:rsidP="00EF6E5A"/>
    <w:p w14:paraId="5016E5D7" w14:textId="7389D7E8" w:rsidR="00827647" w:rsidRPr="003905EA" w:rsidRDefault="00207CA4" w:rsidP="00EF6E5A">
      <w:r>
        <w:t>It is expected that the reporting requirements will be done with existing resources.</w:t>
      </w:r>
      <w:r w:rsidR="003905EA">
        <w:rPr>
          <w:rStyle w:val="CommentReference"/>
        </w:rPr>
        <w:t xml:space="preserve"> </w:t>
      </w:r>
    </w:p>
    <w:p w14:paraId="197C3A8E" w14:textId="77777777" w:rsidR="00EF6E5A" w:rsidRPr="003C3D5A" w:rsidRDefault="00EF6E5A" w:rsidP="00EF6E5A">
      <w:pPr>
        <w:pStyle w:val="NoSpacing"/>
      </w:pPr>
    </w:p>
    <w:p w14:paraId="4DDF1E12" w14:textId="7AD72CDE" w:rsidR="00EF6E5A" w:rsidRPr="00ED3C85" w:rsidRDefault="00EF6E5A" w:rsidP="00EF6E5A">
      <w:pPr>
        <w:pStyle w:val="NoSpacing"/>
      </w:pPr>
      <w:r>
        <w:rPr>
          <w:b/>
          <w:smallCaps/>
          <w:sz w:val="22"/>
          <w:szCs w:val="22"/>
        </w:rPr>
        <w:t xml:space="preserve">Source of Funds To Cover Estimated Costs: </w:t>
      </w:r>
      <w:r w:rsidR="00207CA4">
        <w:t>TBD</w:t>
      </w:r>
      <w:r>
        <w:t xml:space="preserve"> </w:t>
      </w:r>
    </w:p>
    <w:p w14:paraId="03917322" w14:textId="77777777" w:rsidR="00EF6E5A" w:rsidRDefault="00EF6E5A" w:rsidP="00EF6E5A">
      <w:pPr>
        <w:pStyle w:val="NoSpacing"/>
        <w:rPr>
          <w:b/>
          <w:smallCaps/>
          <w:sz w:val="22"/>
          <w:szCs w:val="22"/>
        </w:rPr>
      </w:pPr>
    </w:p>
    <w:p w14:paraId="7DFA839D" w14:textId="49CB4E6B" w:rsidR="00EF6E5A" w:rsidRDefault="00EF6E5A" w:rsidP="00EF6E5A">
      <w:pPr>
        <w:pStyle w:val="NoSpacing"/>
      </w:pPr>
      <w:r>
        <w:rPr>
          <w:b/>
          <w:smallCaps/>
          <w:sz w:val="22"/>
          <w:szCs w:val="22"/>
        </w:rPr>
        <w:t xml:space="preserve">Source of Information:  </w:t>
      </w:r>
      <w:r w:rsidR="00E85113">
        <w:rPr>
          <w:b/>
          <w:smallCaps/>
          <w:sz w:val="22"/>
          <w:szCs w:val="22"/>
        </w:rPr>
        <w:tab/>
      </w:r>
      <w:r>
        <w:t>New York City Council, Finance Division</w:t>
      </w:r>
    </w:p>
    <w:p w14:paraId="0E981AF2" w14:textId="178C33B1" w:rsidR="00EF6E5A" w:rsidRPr="00AB0F61" w:rsidRDefault="00EF6E5A" w:rsidP="00EF6E5A">
      <w:pPr>
        <w:pStyle w:val="NoSpacing"/>
      </w:pPr>
      <w:r>
        <w:tab/>
      </w:r>
      <w:r>
        <w:tab/>
      </w:r>
      <w:r>
        <w:tab/>
      </w:r>
      <w:r>
        <w:rPr>
          <w:b/>
          <w:color w:val="FF0000"/>
        </w:rPr>
        <w:t xml:space="preserve">        </w:t>
      </w:r>
      <w:r w:rsidR="00E85113">
        <w:rPr>
          <w:b/>
          <w:color w:val="FF0000"/>
        </w:rPr>
        <w:tab/>
      </w:r>
      <w:r w:rsidRPr="00AB0F61">
        <w:t xml:space="preserve">Mayor’s Office of Legislative Affairs </w:t>
      </w:r>
    </w:p>
    <w:p w14:paraId="049BA060" w14:textId="78A7D873" w:rsidR="00E85113" w:rsidRDefault="00EF6E5A" w:rsidP="00EF6E5A">
      <w:pPr>
        <w:pStyle w:val="NoSpacing"/>
      </w:pPr>
      <w:r w:rsidRPr="00AB0F61">
        <w:tab/>
      </w:r>
      <w:r w:rsidRPr="00AB0F61">
        <w:tab/>
      </w:r>
      <w:r w:rsidRPr="00AB0F61">
        <w:tab/>
      </w:r>
      <w:r>
        <w:t xml:space="preserve">        </w:t>
      </w:r>
      <w:r w:rsidR="00E85113">
        <w:tab/>
      </w:r>
      <w:r w:rsidRPr="00AB0F61">
        <w:t xml:space="preserve">New York City </w:t>
      </w:r>
      <w:r w:rsidRPr="00EF6E5A">
        <w:t>Department of Citywide Administrative Services</w:t>
      </w:r>
    </w:p>
    <w:p w14:paraId="3550C814" w14:textId="01371227" w:rsidR="00E85113" w:rsidRDefault="00E85113" w:rsidP="00EF6E5A">
      <w:pPr>
        <w:pStyle w:val="NoSpacing"/>
      </w:pPr>
      <w:r>
        <w:tab/>
      </w:r>
      <w:r>
        <w:tab/>
      </w:r>
      <w:r>
        <w:tab/>
        <w:t xml:space="preserve">   </w:t>
      </w:r>
      <w:r w:rsidR="00EF6E5A">
        <w:tab/>
      </w:r>
      <w:r>
        <w:t>US Green Building Council of New York</w:t>
      </w:r>
    </w:p>
    <w:p w14:paraId="66030073" w14:textId="307B3060" w:rsidR="00EF6E5A" w:rsidRDefault="00E85113" w:rsidP="00EF6E5A">
      <w:pPr>
        <w:pStyle w:val="NoSpacing"/>
        <w:rPr>
          <w:b/>
          <w:smallCaps/>
        </w:rPr>
      </w:pPr>
      <w:r>
        <w:tab/>
      </w:r>
      <w:r>
        <w:tab/>
      </w:r>
      <w:r>
        <w:tab/>
      </w:r>
      <w:r>
        <w:tab/>
      </w:r>
      <w:r w:rsidR="00EF6E5A">
        <w:t xml:space="preserve">             </w:t>
      </w:r>
    </w:p>
    <w:p w14:paraId="1C351BEA" w14:textId="5A27BB19" w:rsidR="00EF6E5A" w:rsidRDefault="00EF6E5A" w:rsidP="00EF6E5A">
      <w:pPr>
        <w:pStyle w:val="NoSpacing"/>
      </w:pPr>
      <w:r w:rsidRPr="00012730">
        <w:rPr>
          <w:b/>
          <w:smallCaps/>
        </w:rPr>
        <w:t xml:space="preserve">Estimate Prepared </w:t>
      </w:r>
      <w:r>
        <w:rPr>
          <w:b/>
          <w:smallCaps/>
        </w:rPr>
        <w:t xml:space="preserve">by: </w:t>
      </w:r>
      <w:r>
        <w:t xml:space="preserve"> </w:t>
      </w:r>
      <w:r w:rsidR="00E85113">
        <w:tab/>
      </w:r>
      <w:r w:rsidRPr="00B97A1B">
        <w:t xml:space="preserve">Emre Edev, </w:t>
      </w:r>
      <w:r>
        <w:t xml:space="preserve">Assistant Director </w:t>
      </w:r>
    </w:p>
    <w:p w14:paraId="3C7C9535" w14:textId="414189B8" w:rsidR="00EF6E5A" w:rsidRDefault="00EF6E5A" w:rsidP="00EF6E5A">
      <w:pPr>
        <w:pStyle w:val="NoSpacing"/>
        <w:ind w:left="2160"/>
      </w:pPr>
      <w:r>
        <w:t xml:space="preserve">       </w:t>
      </w:r>
      <w:r w:rsidR="00E85113">
        <w:tab/>
      </w:r>
      <w:r>
        <w:t>Sarah Gastelum, Senior Legislative Financial Analyst</w:t>
      </w:r>
    </w:p>
    <w:p w14:paraId="1274EABF" w14:textId="77777777" w:rsidR="00EF6E5A" w:rsidRPr="00012730" w:rsidRDefault="00EF6E5A" w:rsidP="00EF6E5A">
      <w:r w:rsidRPr="00012730">
        <w:rPr>
          <w:b/>
          <w:smallCaps/>
        </w:rPr>
        <w:tab/>
      </w:r>
      <w:r w:rsidRPr="00012730">
        <w:rPr>
          <w:b/>
          <w:smallCaps/>
        </w:rPr>
        <w:tab/>
      </w:r>
      <w:r w:rsidRPr="00012730">
        <w:rPr>
          <w:b/>
          <w:smallCaps/>
        </w:rPr>
        <w:tab/>
      </w:r>
      <w:r w:rsidRPr="00012730">
        <w:rPr>
          <w:b/>
          <w:smallCaps/>
        </w:rPr>
        <w:tab/>
      </w:r>
      <w:r w:rsidRPr="00012730">
        <w:rPr>
          <w:b/>
          <w:smallCaps/>
        </w:rPr>
        <w:tab/>
      </w:r>
    </w:p>
    <w:p w14:paraId="2A5E68B8" w14:textId="0A4D374E" w:rsidR="00EF6E5A" w:rsidRDefault="00EF6E5A" w:rsidP="00EF6E5A">
      <w:r w:rsidRPr="00012730">
        <w:rPr>
          <w:b/>
          <w:smallCaps/>
        </w:rPr>
        <w:t xml:space="preserve">Estimate Reviewed </w:t>
      </w:r>
      <w:r>
        <w:rPr>
          <w:b/>
          <w:smallCaps/>
        </w:rPr>
        <w:t xml:space="preserve">by: </w:t>
      </w:r>
      <w:r w:rsidR="00E85113">
        <w:rPr>
          <w:b/>
          <w:smallCaps/>
        </w:rPr>
        <w:tab/>
      </w:r>
      <w:r w:rsidRPr="00B97A1B">
        <w:t>Rebecca Chasan, Assistant Counsel</w:t>
      </w:r>
    </w:p>
    <w:p w14:paraId="2A46357C" w14:textId="77777777" w:rsidR="009E775C" w:rsidRDefault="00EF6E5A" w:rsidP="00EF6E5A">
      <w:r>
        <w:tab/>
      </w:r>
      <w:r>
        <w:tab/>
      </w:r>
      <w:r>
        <w:tab/>
        <w:t xml:space="preserve">       </w:t>
      </w:r>
      <w:r w:rsidR="00E85113">
        <w:tab/>
      </w:r>
      <w:r>
        <w:t>Tanisha Edwards, Chief Counsel</w:t>
      </w:r>
    </w:p>
    <w:p w14:paraId="02E431B1" w14:textId="21528A84" w:rsidR="00EF6E5A" w:rsidRPr="00012730" w:rsidRDefault="009E775C" w:rsidP="00EF6E5A">
      <w:r>
        <w:tab/>
      </w:r>
      <w:r>
        <w:tab/>
      </w:r>
      <w:r>
        <w:tab/>
      </w:r>
      <w:r>
        <w:tab/>
        <w:t>Nathan Toth, Deputy Director</w:t>
      </w:r>
      <w:r w:rsidR="00EF6E5A" w:rsidRPr="00012730">
        <w:tab/>
      </w:r>
    </w:p>
    <w:p w14:paraId="0752F46C" w14:textId="77777777" w:rsidR="00EF6E5A" w:rsidRDefault="00EF6E5A" w:rsidP="00EF6E5A">
      <w:pPr>
        <w:rPr>
          <w:b/>
          <w:smallCaps/>
        </w:rPr>
      </w:pPr>
      <w:r>
        <w:rPr>
          <w:b/>
          <w:smallCaps/>
        </w:rPr>
        <w:tab/>
      </w:r>
      <w:r>
        <w:rPr>
          <w:b/>
          <w:smallCaps/>
        </w:rPr>
        <w:tab/>
      </w:r>
      <w:r>
        <w:rPr>
          <w:b/>
          <w:smallCaps/>
        </w:rPr>
        <w:tab/>
      </w:r>
      <w:r>
        <w:rPr>
          <w:b/>
          <w:smallCaps/>
        </w:rPr>
        <w:tab/>
      </w:r>
    </w:p>
    <w:p w14:paraId="147791A8" w14:textId="42D4162F" w:rsidR="00002326" w:rsidRPr="00B97A1B" w:rsidRDefault="00EF6E5A" w:rsidP="00002326">
      <w:r w:rsidRPr="00484393">
        <w:rPr>
          <w:b/>
          <w:smallCaps/>
        </w:rPr>
        <w:t>Legislative History:</w:t>
      </w:r>
      <w:r w:rsidR="00002326">
        <w:rPr>
          <w:b/>
          <w:smallCaps/>
        </w:rPr>
        <w:t xml:space="preserve"> </w:t>
      </w:r>
      <w:r w:rsidR="00002326" w:rsidRPr="00B97A1B">
        <w:t xml:space="preserve">This legislation was introduced to the full </w:t>
      </w:r>
      <w:r w:rsidR="00002326">
        <w:t>C</w:t>
      </w:r>
      <w:r w:rsidR="00002326" w:rsidRPr="00B97A1B">
        <w:t>ouncil on</w:t>
      </w:r>
      <w:r>
        <w:t xml:space="preserve"> </w:t>
      </w:r>
      <w:r w:rsidR="00002326">
        <w:t xml:space="preserve">March 11, 2015 as </w:t>
      </w:r>
      <w:r>
        <w:t xml:space="preserve">Intro. </w:t>
      </w:r>
      <w:r w:rsidR="00002326">
        <w:t>701</w:t>
      </w:r>
      <w:r>
        <w:t xml:space="preserve"> </w:t>
      </w:r>
      <w:r w:rsidR="00002326">
        <w:t xml:space="preserve">and </w:t>
      </w:r>
      <w:r>
        <w:t xml:space="preserve">was </w:t>
      </w:r>
      <w:r w:rsidR="00002326">
        <w:t xml:space="preserve">referred to </w:t>
      </w:r>
      <w:r w:rsidR="00002326" w:rsidRPr="00B97A1B">
        <w:t>the Committee on Housing and Buildings</w:t>
      </w:r>
      <w:r w:rsidR="00002326">
        <w:t xml:space="preserve">. </w:t>
      </w:r>
      <w:r w:rsidR="00002326" w:rsidRPr="00B97A1B">
        <w:t>A hearing was held</w:t>
      </w:r>
      <w:r w:rsidR="00002326">
        <w:t xml:space="preserve"> </w:t>
      </w:r>
      <w:r w:rsidR="00002326" w:rsidRPr="00B97A1B">
        <w:t>by the Committee on Housing and Buildings</w:t>
      </w:r>
      <w:r w:rsidR="00002326">
        <w:t xml:space="preserve"> </w:t>
      </w:r>
      <w:r w:rsidR="00002326" w:rsidRPr="00B97A1B">
        <w:t>on</w:t>
      </w:r>
      <w:r w:rsidR="00002326">
        <w:t xml:space="preserve"> September 25, 2015 </w:t>
      </w:r>
      <w:r w:rsidR="00002326" w:rsidRPr="00B97A1B">
        <w:t>and the bill was laid over</w:t>
      </w:r>
      <w:r w:rsidR="00002326">
        <w:t xml:space="preserve">. </w:t>
      </w:r>
      <w:r w:rsidR="00002326" w:rsidRPr="00B97A1B">
        <w:t>The legislation was</w:t>
      </w:r>
      <w:r w:rsidR="00171721">
        <w:t xml:space="preserve"> subsequently</w:t>
      </w:r>
      <w:r w:rsidR="00002326" w:rsidRPr="00B97A1B">
        <w:t xml:space="preserve"> amended, and the amen</w:t>
      </w:r>
      <w:r w:rsidR="00002326">
        <w:t>ded version, Proposed Intro. 701</w:t>
      </w:r>
      <w:r w:rsidR="00002326" w:rsidRPr="00B97A1B">
        <w:t>-A</w:t>
      </w:r>
      <w:r w:rsidR="00002326">
        <w:t>,</w:t>
      </w:r>
      <w:r w:rsidR="00002326" w:rsidRPr="00B97A1B">
        <w:t xml:space="preserve"> will be considered by the Committee</w:t>
      </w:r>
      <w:r w:rsidR="00002326">
        <w:t xml:space="preserve"> on Housing and Buildings</w:t>
      </w:r>
      <w:r w:rsidR="00002326" w:rsidRPr="00B97A1B">
        <w:t xml:space="preserve"> on </w:t>
      </w:r>
      <w:r w:rsidR="00002326">
        <w:t>March 7, 2016</w:t>
      </w:r>
      <w:r w:rsidR="00002326" w:rsidRPr="00B97A1B">
        <w:t xml:space="preserve">. Following a successful Committee vote, the bill would be submitted to the full Council for a vote on </w:t>
      </w:r>
      <w:r w:rsidR="00002326">
        <w:t xml:space="preserve">March 9, 2016.  </w:t>
      </w:r>
    </w:p>
    <w:p w14:paraId="4A1B89E7" w14:textId="77777777" w:rsidR="00EF6E5A" w:rsidRDefault="00EF6E5A" w:rsidP="00EF6E5A"/>
    <w:p w14:paraId="1D863022" w14:textId="77777777" w:rsidR="00EF6E5A" w:rsidRDefault="00EF6E5A" w:rsidP="00EF6E5A">
      <w:r>
        <w:rPr>
          <w:b/>
          <w:smallCaps/>
        </w:rPr>
        <w:t>Date</w:t>
      </w:r>
      <w:r w:rsidRPr="00012730">
        <w:rPr>
          <w:b/>
          <w:smallCaps/>
        </w:rPr>
        <w:t xml:space="preserve"> Prepared</w:t>
      </w:r>
      <w:r>
        <w:rPr>
          <w:b/>
          <w:smallCaps/>
        </w:rPr>
        <w:t>:</w:t>
      </w:r>
      <w:r w:rsidRPr="00685FE7">
        <w:t xml:space="preserve"> </w:t>
      </w:r>
      <w:r>
        <w:t>March 4, 2016</w:t>
      </w:r>
    </w:p>
    <w:p w14:paraId="3FF155FA" w14:textId="77777777" w:rsidR="00EF6E5A" w:rsidRDefault="00EF6E5A" w:rsidP="00EF6E5A"/>
    <w:p w14:paraId="287C388E" w14:textId="77777777" w:rsidR="00EF6E5A" w:rsidRDefault="00EF6E5A" w:rsidP="00EF6E5A"/>
    <w:p w14:paraId="4092662B" w14:textId="77777777" w:rsidR="00B82A7E" w:rsidRDefault="00B82A7E"/>
    <w:sectPr w:rsidR="00B82A7E" w:rsidSect="00296BAF">
      <w:footerReference w:type="default" r:id="rId10"/>
      <w:pgSz w:w="12240" w:h="15840" w:code="1"/>
      <w:pgMar w:top="54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3FC26" w15:done="0"/>
  <w15:commentEx w15:paraId="1B0B6C12" w15:done="0"/>
  <w15:commentEx w15:paraId="2F8776FD" w15:done="0"/>
  <w15:commentEx w15:paraId="3F0E4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AE02" w14:textId="77777777" w:rsidR="00176B23" w:rsidRDefault="00176B23" w:rsidP="00862F35">
      <w:r>
        <w:separator/>
      </w:r>
    </w:p>
  </w:endnote>
  <w:endnote w:type="continuationSeparator" w:id="0">
    <w:p w14:paraId="71684D69" w14:textId="77777777" w:rsidR="00176B23" w:rsidRDefault="00176B23" w:rsidP="0086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E17B" w14:textId="77777777" w:rsidR="00485B8B" w:rsidRDefault="00A00F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Intro. </w:t>
    </w:r>
    <w:r w:rsidR="00862F35">
      <w:rPr>
        <w:rFonts w:asciiTheme="majorHAnsi" w:eastAsiaTheme="majorEastAsia" w:hAnsiTheme="majorHAnsi" w:cstheme="majorBidi"/>
      </w:rPr>
      <w:t>701-A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46D00" w:rsidRPr="00946D0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A403" w14:textId="77777777" w:rsidR="00176B23" w:rsidRDefault="00176B23" w:rsidP="00862F35">
      <w:r>
        <w:separator/>
      </w:r>
    </w:p>
  </w:footnote>
  <w:footnote w:type="continuationSeparator" w:id="0">
    <w:p w14:paraId="365B8F89" w14:textId="77777777" w:rsidR="00176B23" w:rsidRDefault="00176B23" w:rsidP="0086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2346"/>
    <w:multiLevelType w:val="hybridMultilevel"/>
    <w:tmpl w:val="EFA893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7F9120CC"/>
    <w:multiLevelType w:val="hybridMultilevel"/>
    <w:tmpl w:val="D5665E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hasan">
    <w15:presenceInfo w15:providerId="Windows Live" w15:userId="adbb014205cc4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5A"/>
    <w:rsid w:val="00002326"/>
    <w:rsid w:val="00086D4D"/>
    <w:rsid w:val="000D54F2"/>
    <w:rsid w:val="000E6F1A"/>
    <w:rsid w:val="00154716"/>
    <w:rsid w:val="00171721"/>
    <w:rsid w:val="00176B23"/>
    <w:rsid w:val="001E70E8"/>
    <w:rsid w:val="00207CA4"/>
    <w:rsid w:val="00253049"/>
    <w:rsid w:val="002D2B5C"/>
    <w:rsid w:val="003905EA"/>
    <w:rsid w:val="00464615"/>
    <w:rsid w:val="004A028A"/>
    <w:rsid w:val="004D3C13"/>
    <w:rsid w:val="00503CBF"/>
    <w:rsid w:val="00507676"/>
    <w:rsid w:val="00560C85"/>
    <w:rsid w:val="006832AE"/>
    <w:rsid w:val="006C0173"/>
    <w:rsid w:val="00753590"/>
    <w:rsid w:val="00816188"/>
    <w:rsid w:val="00827647"/>
    <w:rsid w:val="0084743F"/>
    <w:rsid w:val="00862F35"/>
    <w:rsid w:val="00920ADC"/>
    <w:rsid w:val="00946D00"/>
    <w:rsid w:val="00961174"/>
    <w:rsid w:val="009E775C"/>
    <w:rsid w:val="00A00F58"/>
    <w:rsid w:val="00A82EAF"/>
    <w:rsid w:val="00B21666"/>
    <w:rsid w:val="00B237BB"/>
    <w:rsid w:val="00B82A7E"/>
    <w:rsid w:val="00BA7579"/>
    <w:rsid w:val="00BF5CC3"/>
    <w:rsid w:val="00C73EF2"/>
    <w:rsid w:val="00CF6A77"/>
    <w:rsid w:val="00DA6A77"/>
    <w:rsid w:val="00E3326E"/>
    <w:rsid w:val="00E3440C"/>
    <w:rsid w:val="00E532DE"/>
    <w:rsid w:val="00E85113"/>
    <w:rsid w:val="00EA27FC"/>
    <w:rsid w:val="00ED7157"/>
    <w:rsid w:val="00EF6E5A"/>
    <w:rsid w:val="00F44379"/>
    <w:rsid w:val="00F8458D"/>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5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6E5A"/>
    <w:pPr>
      <w:tabs>
        <w:tab w:val="center" w:pos="4680"/>
        <w:tab w:val="right" w:pos="9360"/>
      </w:tabs>
    </w:pPr>
  </w:style>
  <w:style w:type="character" w:customStyle="1" w:styleId="FooterChar">
    <w:name w:val="Footer Char"/>
    <w:basedOn w:val="DefaultParagraphFont"/>
    <w:link w:val="Footer"/>
    <w:uiPriority w:val="99"/>
    <w:rsid w:val="00EF6E5A"/>
    <w:rPr>
      <w:rFonts w:ascii="Times New Roman" w:eastAsia="Times New Roman" w:hAnsi="Times New Roman" w:cs="Times New Roman"/>
      <w:sz w:val="24"/>
      <w:szCs w:val="24"/>
    </w:rPr>
  </w:style>
  <w:style w:type="paragraph" w:styleId="NoSpacing">
    <w:name w:val="No Spacing"/>
    <w:uiPriority w:val="1"/>
    <w:qFormat/>
    <w:rsid w:val="00EF6E5A"/>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E5A"/>
    <w:rPr>
      <w:rFonts w:ascii="Tahoma" w:hAnsi="Tahoma" w:cs="Tahoma"/>
      <w:sz w:val="16"/>
      <w:szCs w:val="16"/>
    </w:rPr>
  </w:style>
  <w:style w:type="character" w:customStyle="1" w:styleId="BalloonTextChar">
    <w:name w:val="Balloon Text Char"/>
    <w:basedOn w:val="DefaultParagraphFont"/>
    <w:link w:val="BalloonText"/>
    <w:uiPriority w:val="99"/>
    <w:semiHidden/>
    <w:rsid w:val="00EF6E5A"/>
    <w:rPr>
      <w:rFonts w:ascii="Tahoma" w:eastAsia="Times New Roman" w:hAnsi="Tahoma" w:cs="Tahoma"/>
      <w:sz w:val="16"/>
      <w:szCs w:val="16"/>
    </w:rPr>
  </w:style>
  <w:style w:type="paragraph" w:styleId="Header">
    <w:name w:val="header"/>
    <w:basedOn w:val="Normal"/>
    <w:link w:val="HeaderChar"/>
    <w:uiPriority w:val="99"/>
    <w:unhideWhenUsed/>
    <w:rsid w:val="00862F35"/>
    <w:pPr>
      <w:tabs>
        <w:tab w:val="center" w:pos="4680"/>
        <w:tab w:val="right" w:pos="9360"/>
      </w:tabs>
    </w:pPr>
  </w:style>
  <w:style w:type="character" w:customStyle="1" w:styleId="HeaderChar">
    <w:name w:val="Header Char"/>
    <w:basedOn w:val="DefaultParagraphFont"/>
    <w:link w:val="Header"/>
    <w:uiPriority w:val="99"/>
    <w:rsid w:val="00862F3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7647"/>
    <w:rPr>
      <w:sz w:val="16"/>
      <w:szCs w:val="16"/>
    </w:rPr>
  </w:style>
  <w:style w:type="paragraph" w:styleId="CommentText">
    <w:name w:val="annotation text"/>
    <w:basedOn w:val="Normal"/>
    <w:link w:val="CommentTextChar"/>
    <w:uiPriority w:val="99"/>
    <w:semiHidden/>
    <w:unhideWhenUsed/>
    <w:rsid w:val="00827647"/>
    <w:rPr>
      <w:sz w:val="20"/>
      <w:szCs w:val="20"/>
    </w:rPr>
  </w:style>
  <w:style w:type="character" w:customStyle="1" w:styleId="CommentTextChar">
    <w:name w:val="Comment Text Char"/>
    <w:basedOn w:val="DefaultParagraphFont"/>
    <w:link w:val="CommentText"/>
    <w:uiPriority w:val="99"/>
    <w:semiHidden/>
    <w:rsid w:val="008276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647"/>
    <w:rPr>
      <w:b/>
      <w:bCs/>
    </w:rPr>
  </w:style>
  <w:style w:type="character" w:customStyle="1" w:styleId="CommentSubjectChar">
    <w:name w:val="Comment Subject Char"/>
    <w:basedOn w:val="CommentTextChar"/>
    <w:link w:val="CommentSubject"/>
    <w:uiPriority w:val="99"/>
    <w:semiHidden/>
    <w:rsid w:val="0082764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86D4D"/>
  </w:style>
  <w:style w:type="character" w:customStyle="1" w:styleId="FootnoteTextChar">
    <w:name w:val="Footnote Text Char"/>
    <w:basedOn w:val="DefaultParagraphFont"/>
    <w:link w:val="FootnoteText"/>
    <w:uiPriority w:val="99"/>
    <w:semiHidden/>
    <w:rsid w:val="00086D4D"/>
    <w:rPr>
      <w:rFonts w:ascii="Times New Roman" w:eastAsia="Times New Roman" w:hAnsi="Times New Roman" w:cs="Times New Roman"/>
      <w:sz w:val="24"/>
      <w:szCs w:val="24"/>
    </w:rPr>
  </w:style>
  <w:style w:type="character" w:styleId="FootnoteReference">
    <w:name w:val="footnote reference"/>
    <w:uiPriority w:val="99"/>
    <w:semiHidden/>
    <w:unhideWhenUsed/>
    <w:rsid w:val="00086D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5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6E5A"/>
    <w:pPr>
      <w:tabs>
        <w:tab w:val="center" w:pos="4680"/>
        <w:tab w:val="right" w:pos="9360"/>
      </w:tabs>
    </w:pPr>
  </w:style>
  <w:style w:type="character" w:customStyle="1" w:styleId="FooterChar">
    <w:name w:val="Footer Char"/>
    <w:basedOn w:val="DefaultParagraphFont"/>
    <w:link w:val="Footer"/>
    <w:uiPriority w:val="99"/>
    <w:rsid w:val="00EF6E5A"/>
    <w:rPr>
      <w:rFonts w:ascii="Times New Roman" w:eastAsia="Times New Roman" w:hAnsi="Times New Roman" w:cs="Times New Roman"/>
      <w:sz w:val="24"/>
      <w:szCs w:val="24"/>
    </w:rPr>
  </w:style>
  <w:style w:type="paragraph" w:styleId="NoSpacing">
    <w:name w:val="No Spacing"/>
    <w:uiPriority w:val="1"/>
    <w:qFormat/>
    <w:rsid w:val="00EF6E5A"/>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E5A"/>
    <w:rPr>
      <w:rFonts w:ascii="Tahoma" w:hAnsi="Tahoma" w:cs="Tahoma"/>
      <w:sz w:val="16"/>
      <w:szCs w:val="16"/>
    </w:rPr>
  </w:style>
  <w:style w:type="character" w:customStyle="1" w:styleId="BalloonTextChar">
    <w:name w:val="Balloon Text Char"/>
    <w:basedOn w:val="DefaultParagraphFont"/>
    <w:link w:val="BalloonText"/>
    <w:uiPriority w:val="99"/>
    <w:semiHidden/>
    <w:rsid w:val="00EF6E5A"/>
    <w:rPr>
      <w:rFonts w:ascii="Tahoma" w:eastAsia="Times New Roman" w:hAnsi="Tahoma" w:cs="Tahoma"/>
      <w:sz w:val="16"/>
      <w:szCs w:val="16"/>
    </w:rPr>
  </w:style>
  <w:style w:type="paragraph" w:styleId="Header">
    <w:name w:val="header"/>
    <w:basedOn w:val="Normal"/>
    <w:link w:val="HeaderChar"/>
    <w:uiPriority w:val="99"/>
    <w:unhideWhenUsed/>
    <w:rsid w:val="00862F35"/>
    <w:pPr>
      <w:tabs>
        <w:tab w:val="center" w:pos="4680"/>
        <w:tab w:val="right" w:pos="9360"/>
      </w:tabs>
    </w:pPr>
  </w:style>
  <w:style w:type="character" w:customStyle="1" w:styleId="HeaderChar">
    <w:name w:val="Header Char"/>
    <w:basedOn w:val="DefaultParagraphFont"/>
    <w:link w:val="Header"/>
    <w:uiPriority w:val="99"/>
    <w:rsid w:val="00862F3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7647"/>
    <w:rPr>
      <w:sz w:val="16"/>
      <w:szCs w:val="16"/>
    </w:rPr>
  </w:style>
  <w:style w:type="paragraph" w:styleId="CommentText">
    <w:name w:val="annotation text"/>
    <w:basedOn w:val="Normal"/>
    <w:link w:val="CommentTextChar"/>
    <w:uiPriority w:val="99"/>
    <w:semiHidden/>
    <w:unhideWhenUsed/>
    <w:rsid w:val="00827647"/>
    <w:rPr>
      <w:sz w:val="20"/>
      <w:szCs w:val="20"/>
    </w:rPr>
  </w:style>
  <w:style w:type="character" w:customStyle="1" w:styleId="CommentTextChar">
    <w:name w:val="Comment Text Char"/>
    <w:basedOn w:val="DefaultParagraphFont"/>
    <w:link w:val="CommentText"/>
    <w:uiPriority w:val="99"/>
    <w:semiHidden/>
    <w:rsid w:val="008276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647"/>
    <w:rPr>
      <w:b/>
      <w:bCs/>
    </w:rPr>
  </w:style>
  <w:style w:type="character" w:customStyle="1" w:styleId="CommentSubjectChar">
    <w:name w:val="Comment Subject Char"/>
    <w:basedOn w:val="CommentTextChar"/>
    <w:link w:val="CommentSubject"/>
    <w:uiPriority w:val="99"/>
    <w:semiHidden/>
    <w:rsid w:val="0082764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86D4D"/>
  </w:style>
  <w:style w:type="character" w:customStyle="1" w:styleId="FootnoteTextChar">
    <w:name w:val="Footnote Text Char"/>
    <w:basedOn w:val="DefaultParagraphFont"/>
    <w:link w:val="FootnoteText"/>
    <w:uiPriority w:val="99"/>
    <w:semiHidden/>
    <w:rsid w:val="00086D4D"/>
    <w:rPr>
      <w:rFonts w:ascii="Times New Roman" w:eastAsia="Times New Roman" w:hAnsi="Times New Roman" w:cs="Times New Roman"/>
      <w:sz w:val="24"/>
      <w:szCs w:val="24"/>
    </w:rPr>
  </w:style>
  <w:style w:type="character" w:styleId="FootnoteReference">
    <w:name w:val="footnote reference"/>
    <w:uiPriority w:val="99"/>
    <w:semiHidden/>
    <w:unhideWhenUsed/>
    <w:rsid w:val="00086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C35F05-DF63-4DDD-827E-F0E7A9C9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Gastelum, Sarah</dc:creator>
  <cp:lastModifiedBy>Pagan, Maria</cp:lastModifiedBy>
  <cp:revision>7</cp:revision>
  <cp:lastPrinted>2016-03-09T14:24:00Z</cp:lastPrinted>
  <dcterms:created xsi:type="dcterms:W3CDTF">2016-03-07T14:51:00Z</dcterms:created>
  <dcterms:modified xsi:type="dcterms:W3CDTF">2016-03-09T14:35:00Z</dcterms:modified>
</cp:coreProperties>
</file>