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7C24EB">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36E1755" wp14:editId="0181DB3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rsidR="00DB442D" w:rsidRDefault="00DB442D" w:rsidP="00F25382">
            <w:pPr>
              <w:rPr>
                <w:b/>
                <w:bCs/>
                <w:smallCaps/>
              </w:rPr>
            </w:pPr>
            <w:r>
              <w:rPr>
                <w:b/>
                <w:bCs/>
                <w:smallCaps/>
              </w:rPr>
              <w:t>The Council of the City of New York</w:t>
            </w:r>
          </w:p>
          <w:p w:rsidR="00DB442D" w:rsidRDefault="00DB442D" w:rsidP="00F25382">
            <w:pPr>
              <w:rPr>
                <w:b/>
                <w:bCs/>
                <w:smallCaps/>
              </w:rPr>
            </w:pPr>
            <w:r>
              <w:rPr>
                <w:b/>
                <w:bCs/>
                <w:smallCaps/>
              </w:rPr>
              <w:t>Finance Division</w:t>
            </w:r>
          </w:p>
          <w:p w:rsidR="00DB442D" w:rsidRDefault="00DB442D" w:rsidP="00F25382">
            <w:pPr>
              <w:spacing w:before="120"/>
              <w:rPr>
                <w:b/>
                <w:bCs/>
                <w:smallCaps/>
              </w:rPr>
            </w:pPr>
            <w:r>
              <w:rPr>
                <w:b/>
                <w:bCs/>
                <w:smallCaps/>
              </w:rPr>
              <w:t>Latonia McKinney, Director</w:t>
            </w:r>
          </w:p>
          <w:p w:rsidR="00DB442D" w:rsidRDefault="00DB442D" w:rsidP="00F25382">
            <w:pPr>
              <w:spacing w:before="120"/>
            </w:pPr>
            <w:r>
              <w:rPr>
                <w:b/>
                <w:bCs/>
                <w:smallCaps/>
              </w:rPr>
              <w:t>Fiscal Impact Statement</w:t>
            </w:r>
          </w:p>
          <w:p w:rsidR="00DB442D" w:rsidRPr="00ED74D9" w:rsidRDefault="00DB442D" w:rsidP="00F25382">
            <w:pPr>
              <w:rPr>
                <w:b/>
                <w:bCs/>
                <w:sz w:val="16"/>
                <w:szCs w:val="16"/>
              </w:rPr>
            </w:pPr>
          </w:p>
          <w:p w:rsidR="00DB442D" w:rsidRPr="00A267C7" w:rsidRDefault="00DB442D" w:rsidP="00F25382">
            <w:pPr>
              <w:rPr>
                <w:color w:val="FF0000"/>
                <w:sz w:val="16"/>
                <w:szCs w:val="16"/>
              </w:rPr>
            </w:pPr>
            <w:r>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sidR="00E10655">
              <w:rPr>
                <w:b/>
                <w:bCs/>
                <w:smallCaps/>
              </w:rPr>
              <w:t>897</w:t>
            </w:r>
          </w:p>
          <w:p w:rsidR="00DB442D" w:rsidRPr="00A267C7" w:rsidRDefault="00DB442D" w:rsidP="00DD3B62">
            <w:pPr>
              <w:tabs>
                <w:tab w:val="left" w:pos="-1440"/>
              </w:tabs>
              <w:ind w:left="1440" w:hanging="1440"/>
              <w:jc w:val="left"/>
              <w:rPr>
                <w:color w:val="FF0000"/>
              </w:rPr>
            </w:pPr>
            <w:r>
              <w:rPr>
                <w:b/>
                <w:bCs/>
                <w:smallCaps/>
              </w:rPr>
              <w:t>Committee</w:t>
            </w:r>
            <w:r>
              <w:rPr>
                <w:b/>
                <w:bCs/>
              </w:rPr>
              <w:t xml:space="preserve">: </w:t>
            </w:r>
            <w:r w:rsidR="00DD3B62">
              <w:rPr>
                <w:b/>
                <w:bCs/>
              </w:rPr>
              <w:t>Public Safety</w:t>
            </w:r>
          </w:p>
        </w:tc>
      </w:tr>
      <w:tr w:rsidR="00DB442D" w:rsidRPr="00ED74D9" w:rsidTr="00F25382">
        <w:trPr>
          <w:jc w:val="center"/>
        </w:trPr>
        <w:tc>
          <w:tcPr>
            <w:tcW w:w="6006" w:type="dxa"/>
            <w:tcBorders>
              <w:top w:val="single" w:sz="4" w:space="0" w:color="auto"/>
            </w:tcBorders>
          </w:tcPr>
          <w:p w:rsidR="00DB442D" w:rsidRPr="00ED7113" w:rsidRDefault="00814B2B" w:rsidP="00ED7113">
            <w:pPr>
              <w:pStyle w:val="NoSpacing"/>
            </w:pPr>
            <w:r>
              <w:rPr>
                <w:b/>
                <w:bCs/>
                <w:smallCaps/>
                <w:sz w:val="22"/>
                <w:szCs w:val="22"/>
              </w:rPr>
              <w:t>title:</w:t>
            </w:r>
            <w:r w:rsidRPr="005E650C">
              <w:rPr>
                <w:b/>
                <w:bCs/>
                <w:sz w:val="22"/>
                <w:szCs w:val="22"/>
              </w:rPr>
              <w:t xml:space="preserve"> </w:t>
            </w:r>
            <w:r w:rsidR="00C11F5A" w:rsidRPr="00C11F5A">
              <w:t xml:space="preserve">A Local Law </w:t>
            </w:r>
            <w:r w:rsidR="001B2F49">
              <w:t>t</w:t>
            </w:r>
            <w:r w:rsidR="001B2F49" w:rsidRPr="001B2F49">
              <w:t xml:space="preserve">o amend </w:t>
            </w:r>
            <w:r w:rsidR="0004577A" w:rsidRPr="0004577A">
              <w:t>the administrative code of the city of New York, in relation to declaring nuisances related to the sale of synthetic drugs and imitation synthetic drugs</w:t>
            </w:r>
            <w:r w:rsidR="00ED7113">
              <w:t>.</w:t>
            </w:r>
          </w:p>
        </w:tc>
        <w:tc>
          <w:tcPr>
            <w:tcW w:w="4869" w:type="dxa"/>
            <w:tcBorders>
              <w:top w:val="single" w:sz="4" w:space="0" w:color="auto"/>
            </w:tcBorders>
          </w:tcPr>
          <w:p w:rsidR="0004577A" w:rsidRPr="00ED7113" w:rsidRDefault="00A76DF7" w:rsidP="002D0018">
            <w:pPr>
              <w:widowControl w:val="0"/>
              <w:autoSpaceDE w:val="0"/>
              <w:autoSpaceDN w:val="0"/>
              <w:adjustRightInd w:val="0"/>
              <w:ind w:left="130"/>
              <w:pPrChange w:id="0" w:author="New York City Council" w:date="2015-09-30T09:38:00Z">
                <w:pPr>
                  <w:widowControl w:val="0"/>
                  <w:autoSpaceDE w:val="0"/>
                  <w:autoSpaceDN w:val="0"/>
                  <w:adjustRightInd w:val="0"/>
                  <w:spacing w:line="276" w:lineRule="auto"/>
                  <w:ind w:left="134"/>
                </w:pPr>
              </w:pPrChange>
            </w:pPr>
            <w:r>
              <w:rPr>
                <w:b/>
                <w:bCs/>
                <w:smallCaps/>
                <w:sz w:val="22"/>
                <w:szCs w:val="22"/>
              </w:rPr>
              <w:t>Sponsors</w:t>
            </w:r>
            <w:r w:rsidR="00DB442D" w:rsidRPr="005E650C">
              <w:rPr>
                <w:b/>
                <w:bCs/>
                <w:sz w:val="22"/>
                <w:szCs w:val="22"/>
              </w:rPr>
              <w:t xml:space="preserve">: </w:t>
            </w:r>
            <w:r w:rsidR="00253FDF" w:rsidRPr="000671E9">
              <w:t>Council Member</w:t>
            </w:r>
            <w:r w:rsidR="00253FDF">
              <w:t>s</w:t>
            </w:r>
            <w:r w:rsidR="00DD3B62">
              <w:t xml:space="preserve"> </w:t>
            </w:r>
            <w:r w:rsidR="0004577A">
              <w:t>Garodnick,</w:t>
            </w:r>
            <w:r w:rsidR="00760ECB">
              <w:t xml:space="preserve"> the Speaker (Council Member Mark-Viverito).</w:t>
            </w:r>
            <w:r w:rsidR="0004577A">
              <w:t xml:space="preserve"> Arroyo, Barron, Gibson, Johnson, Koo, Mealy, Mendez, Richards, </w:t>
            </w:r>
            <w:r w:rsidR="003666CC">
              <w:t xml:space="preserve">Rose, Wills, Crowley, </w:t>
            </w:r>
            <w:r w:rsidR="001D0FD9">
              <w:t xml:space="preserve">and </w:t>
            </w:r>
            <w:r w:rsidR="003666CC">
              <w:t>Cohen</w:t>
            </w:r>
            <w:r w:rsidR="00760ECB">
              <w:t>.</w:t>
            </w:r>
            <w:r w:rsidR="0004577A">
              <w:t xml:space="preserve"> </w:t>
            </w:r>
          </w:p>
        </w:tc>
      </w:tr>
    </w:tbl>
    <w:p w:rsidR="00425D7C" w:rsidRDefault="00DB442D" w:rsidP="002D0018">
      <w:pPr>
        <w:spacing w:before="120"/>
        <w:pPrChange w:id="1" w:author="New York City Council" w:date="2015-09-30T09:39:00Z">
          <w:pPr>
            <w:pBdr>
              <w:top w:val="single" w:sz="4" w:space="1" w:color="auto"/>
            </w:pBdr>
          </w:pPr>
        </w:pPrChange>
      </w:pPr>
      <w:bookmarkStart w:id="2" w:name="_GoBack"/>
      <w:bookmarkEnd w:id="2"/>
      <w:r w:rsidRPr="00DB442D">
        <w:rPr>
          <w:b/>
          <w:smallCaps/>
        </w:rPr>
        <w:t xml:space="preserve">Summary of Legislation: </w:t>
      </w:r>
      <w:r w:rsidR="00A15E91">
        <w:rPr>
          <w:b/>
          <w:smallCaps/>
        </w:rPr>
        <w:t xml:space="preserve"> </w:t>
      </w:r>
      <w:r w:rsidR="00A15E91">
        <w:t>I</w:t>
      </w:r>
      <w:r w:rsidR="00C11F5A">
        <w:t>nt</w:t>
      </w:r>
      <w:r w:rsidR="00D30ACA">
        <w:t>ro</w:t>
      </w:r>
      <w:r w:rsidR="00C11F5A">
        <w:t xml:space="preserve">. </w:t>
      </w:r>
      <w:r w:rsidR="007B6907">
        <w:t>No. 897</w:t>
      </w:r>
      <w:r w:rsidR="00C11F5A">
        <w:t xml:space="preserve"> </w:t>
      </w:r>
      <w:r w:rsidR="007B6907" w:rsidRPr="007B6907">
        <w:t>would add violations of a proposed synthetic drug prohibition to the factors that allow the declaration of a public nuisance under the City’s Nuisance Abatement Law. It would allow a court, under the Nuisance Abatement Law, to issue restraining and closing orders against premises that repeatedly violate the proposed synthetic drug prohibition.</w:t>
      </w:r>
    </w:p>
    <w:p w:rsidR="00ED7113" w:rsidRDefault="00ED7113">
      <w:pPr>
        <w:rPr>
          <w:b/>
          <w:smallCaps/>
          <w:sz w:val="22"/>
          <w:szCs w:val="22"/>
        </w:rPr>
        <w:pPrChange w:id="3" w:author="New York City Council" w:date="2015-09-30T09:29:00Z">
          <w:pPr>
            <w:pBdr>
              <w:top w:val="single" w:sz="4" w:space="1" w:color="auto"/>
            </w:pBdr>
          </w:pPr>
        </w:pPrChange>
      </w:pPr>
    </w:p>
    <w:p w:rsidR="00DB442D" w:rsidRDefault="00DB442D" w:rsidP="00DB442D">
      <w:pPr>
        <w:spacing w:before="240"/>
        <w:contextualSpacing/>
      </w:pPr>
      <w:r>
        <w:rPr>
          <w:b/>
          <w:smallCaps/>
          <w:sz w:val="22"/>
          <w:szCs w:val="22"/>
        </w:rPr>
        <w:t xml:space="preserve">Effective Date: </w:t>
      </w:r>
      <w:r w:rsidR="00ED7113" w:rsidRPr="00B055CE">
        <w:t xml:space="preserve">This local law </w:t>
      </w:r>
      <w:r w:rsidR="00ED7113">
        <w:t xml:space="preserve">would take </w:t>
      </w:r>
      <w:r w:rsidR="00ED7113" w:rsidRPr="00C11F5A">
        <w:t xml:space="preserve">effect </w:t>
      </w:r>
      <w:r w:rsidR="00ED7113">
        <w:t>60 days after it becomes law.</w:t>
      </w:r>
      <w:r w:rsidR="00ED7113" w:rsidRPr="00C11F5A">
        <w:t xml:space="preserve"> </w:t>
      </w:r>
    </w:p>
    <w:p w:rsidR="00DB442D" w:rsidRPr="00E119D6" w:rsidRDefault="00DB442D" w:rsidP="00DB442D">
      <w:pPr>
        <w:spacing w:before="240"/>
        <w:rPr>
          <w:sz w:val="22"/>
          <w:szCs w:val="22"/>
        </w:rPr>
      </w:pPr>
      <w:r>
        <w:rPr>
          <w:b/>
          <w:smallCaps/>
          <w:sz w:val="22"/>
          <w:szCs w:val="22"/>
        </w:rPr>
        <w:t xml:space="preserve">Fiscal Year In Which Full Fiscal Impact Anticipated: </w:t>
      </w:r>
      <w:r w:rsidR="00C11F5A">
        <w:rPr>
          <w:b/>
          <w:smallCaps/>
          <w:sz w:val="22"/>
          <w:szCs w:val="22"/>
        </w:rPr>
        <w:t xml:space="preserve"> </w:t>
      </w:r>
      <w:r w:rsidR="00E119D6" w:rsidRPr="006906D9">
        <w:t>Fiscal 2017</w:t>
      </w:r>
    </w:p>
    <w:p w:rsidR="00DB442D" w:rsidRDefault="00DB442D" w:rsidP="00DB442D">
      <w:pPr>
        <w:pBdr>
          <w:top w:val="single" w:sz="4" w:space="1" w:color="auto"/>
        </w:pBdr>
        <w:spacing w:before="240"/>
        <w:rPr>
          <w:b/>
          <w:smallCaps/>
          <w:sz w:val="22"/>
          <w:szCs w:val="22"/>
        </w:rPr>
      </w:pPr>
      <w:r>
        <w:rPr>
          <w:b/>
          <w:smallCaps/>
          <w:sz w:val="22"/>
          <w:szCs w:val="22"/>
        </w:rPr>
        <w:t>Fiscal Impact Statement:</w:t>
      </w:r>
    </w:p>
    <w:p w:rsidR="00DB442D" w:rsidRDefault="00DB442D" w:rsidP="00DB442D">
      <w:pPr>
        <w:pBdr>
          <w:top w:val="single" w:sz="4" w:space="1" w:color="auto"/>
        </w:pBdr>
        <w:spacing w:before="120"/>
        <w:rPr>
          <w:b/>
          <w:smallCaps/>
          <w:sz w:val="22"/>
          <w:szCs w:val="22"/>
        </w:rPr>
      </w:pPr>
    </w:p>
    <w:tbl>
      <w:tblPr>
        <w:tblW w:w="0" w:type="auto"/>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rsidTr="002C205C">
        <w:trPr>
          <w:trHeight w:val="558"/>
          <w:jc w:val="center"/>
        </w:trPr>
        <w:tc>
          <w:tcPr>
            <w:tcW w:w="1692" w:type="dxa"/>
          </w:tcPr>
          <w:p w:rsidR="00DB442D" w:rsidRPr="00706E47" w:rsidRDefault="00DB442D" w:rsidP="002C205C">
            <w:pPr>
              <w:jc w:val="center"/>
              <w:rPr>
                <w:sz w:val="18"/>
                <w:szCs w:val="18"/>
              </w:rPr>
            </w:pPr>
          </w:p>
          <w:p w:rsidR="00DB442D" w:rsidRPr="00706E47" w:rsidRDefault="00DB442D" w:rsidP="002C205C">
            <w:pPr>
              <w:jc w:val="center"/>
              <w:rPr>
                <w:b/>
                <w:bCs/>
                <w:sz w:val="18"/>
                <w:szCs w:val="18"/>
              </w:rPr>
            </w:pPr>
          </w:p>
        </w:tc>
        <w:tc>
          <w:tcPr>
            <w:tcW w:w="1754" w:type="dxa"/>
          </w:tcPr>
          <w:p w:rsidR="00DB442D" w:rsidRPr="00706E47" w:rsidRDefault="00DB442D" w:rsidP="002C205C">
            <w:pPr>
              <w:jc w:val="center"/>
              <w:rPr>
                <w:b/>
                <w:bCs/>
                <w:sz w:val="18"/>
                <w:szCs w:val="18"/>
              </w:rPr>
            </w:pPr>
          </w:p>
          <w:p w:rsidR="00DB442D" w:rsidRPr="00706E47" w:rsidRDefault="00DB442D" w:rsidP="002C205C">
            <w:pPr>
              <w:jc w:val="center"/>
              <w:rPr>
                <w:b/>
                <w:bCs/>
                <w:sz w:val="18"/>
                <w:szCs w:val="18"/>
              </w:rPr>
            </w:pPr>
          </w:p>
          <w:p w:rsidR="00DB442D" w:rsidRPr="00706E47" w:rsidRDefault="00DB442D" w:rsidP="002C205C">
            <w:pPr>
              <w:jc w:val="center"/>
              <w:rPr>
                <w:b/>
                <w:bCs/>
                <w:sz w:val="18"/>
                <w:szCs w:val="18"/>
              </w:rPr>
            </w:pPr>
            <w:r>
              <w:rPr>
                <w:b/>
                <w:bCs/>
                <w:sz w:val="18"/>
                <w:szCs w:val="18"/>
              </w:rPr>
              <w:t>Effective FY1</w:t>
            </w:r>
            <w:r w:rsidR="00C11F5A">
              <w:rPr>
                <w:b/>
                <w:bCs/>
                <w:sz w:val="18"/>
                <w:szCs w:val="18"/>
              </w:rPr>
              <w:t>6</w:t>
            </w:r>
          </w:p>
          <w:p w:rsidR="00DB442D" w:rsidRPr="00706E47" w:rsidRDefault="00DB442D" w:rsidP="002C205C">
            <w:pPr>
              <w:jc w:val="center"/>
              <w:rPr>
                <w:b/>
                <w:bCs/>
                <w:sz w:val="18"/>
                <w:szCs w:val="18"/>
              </w:rPr>
            </w:pPr>
          </w:p>
        </w:tc>
        <w:tc>
          <w:tcPr>
            <w:tcW w:w="1754" w:type="dxa"/>
          </w:tcPr>
          <w:p w:rsidR="00DB442D" w:rsidRPr="00706E47" w:rsidRDefault="00DB442D" w:rsidP="002C205C">
            <w:pPr>
              <w:jc w:val="center"/>
              <w:rPr>
                <w:b/>
                <w:bCs/>
                <w:sz w:val="18"/>
                <w:szCs w:val="18"/>
              </w:rPr>
            </w:pPr>
          </w:p>
          <w:p w:rsidR="00DB442D" w:rsidRPr="00706E47" w:rsidRDefault="00DB442D" w:rsidP="002C205C">
            <w:pPr>
              <w:jc w:val="center"/>
              <w:rPr>
                <w:b/>
                <w:bCs/>
                <w:sz w:val="18"/>
                <w:szCs w:val="18"/>
              </w:rPr>
            </w:pPr>
            <w:r w:rsidRPr="00706E47">
              <w:rPr>
                <w:b/>
                <w:bCs/>
                <w:sz w:val="18"/>
                <w:szCs w:val="18"/>
              </w:rPr>
              <w:t>FY Succeeding</w:t>
            </w:r>
          </w:p>
          <w:p w:rsidR="00DB442D" w:rsidRPr="00706E47" w:rsidRDefault="00DB442D" w:rsidP="00C11F5A">
            <w:pPr>
              <w:jc w:val="center"/>
              <w:rPr>
                <w:b/>
                <w:bCs/>
                <w:sz w:val="18"/>
                <w:szCs w:val="18"/>
              </w:rPr>
            </w:pPr>
            <w:r w:rsidRPr="00706E47">
              <w:rPr>
                <w:b/>
                <w:bCs/>
                <w:sz w:val="18"/>
                <w:szCs w:val="18"/>
              </w:rPr>
              <w:t>Effective FY1</w:t>
            </w:r>
            <w:r w:rsidR="00C11F5A">
              <w:rPr>
                <w:b/>
                <w:bCs/>
                <w:sz w:val="18"/>
                <w:szCs w:val="18"/>
              </w:rPr>
              <w:t>7</w:t>
            </w:r>
          </w:p>
        </w:tc>
        <w:tc>
          <w:tcPr>
            <w:tcW w:w="1754" w:type="dxa"/>
          </w:tcPr>
          <w:p w:rsidR="00DB442D" w:rsidRPr="00706E47" w:rsidRDefault="00DB442D" w:rsidP="002C205C">
            <w:pPr>
              <w:jc w:val="center"/>
              <w:rPr>
                <w:b/>
                <w:bCs/>
                <w:sz w:val="18"/>
                <w:szCs w:val="18"/>
              </w:rPr>
            </w:pPr>
          </w:p>
          <w:p w:rsidR="00DB442D" w:rsidRPr="00706E47" w:rsidRDefault="00DB442D" w:rsidP="002C205C">
            <w:pPr>
              <w:jc w:val="center"/>
              <w:rPr>
                <w:b/>
                <w:bCs/>
                <w:sz w:val="18"/>
                <w:szCs w:val="18"/>
              </w:rPr>
            </w:pPr>
            <w:r w:rsidRPr="00706E47">
              <w:rPr>
                <w:b/>
                <w:bCs/>
                <w:sz w:val="18"/>
                <w:szCs w:val="18"/>
              </w:rPr>
              <w:t>Full Fiscal</w:t>
            </w:r>
          </w:p>
          <w:p w:rsidR="00DB442D" w:rsidRPr="00706E47" w:rsidRDefault="00DB442D" w:rsidP="002C205C">
            <w:pPr>
              <w:jc w:val="center"/>
              <w:rPr>
                <w:b/>
                <w:bCs/>
                <w:sz w:val="18"/>
                <w:szCs w:val="18"/>
              </w:rPr>
            </w:pPr>
            <w:r>
              <w:rPr>
                <w:b/>
                <w:bCs/>
                <w:sz w:val="18"/>
                <w:szCs w:val="18"/>
              </w:rPr>
              <w:t>Impact FY1</w:t>
            </w:r>
            <w:r w:rsidR="00C11F5A">
              <w:rPr>
                <w:b/>
                <w:bCs/>
                <w:sz w:val="18"/>
                <w:szCs w:val="18"/>
              </w:rPr>
              <w:t>7</w:t>
            </w:r>
          </w:p>
          <w:p w:rsidR="00DB442D" w:rsidRPr="00706E47" w:rsidRDefault="00DB442D" w:rsidP="002C205C">
            <w:pPr>
              <w:jc w:val="center"/>
              <w:rPr>
                <w:b/>
                <w:bCs/>
                <w:sz w:val="18"/>
                <w:szCs w:val="18"/>
              </w:rPr>
            </w:pPr>
          </w:p>
        </w:tc>
      </w:tr>
      <w:tr w:rsidR="00DB442D" w:rsidRPr="00706E47" w:rsidTr="002C205C">
        <w:trPr>
          <w:jc w:val="center"/>
        </w:trPr>
        <w:tc>
          <w:tcPr>
            <w:tcW w:w="1692" w:type="dxa"/>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Revenues </w:t>
            </w:r>
          </w:p>
        </w:tc>
        <w:tc>
          <w:tcPr>
            <w:tcW w:w="1754" w:type="dxa"/>
          </w:tcPr>
          <w:p w:rsidR="00DB442D" w:rsidRPr="00A90A0E" w:rsidRDefault="00DB442D" w:rsidP="00F25382">
            <w:pPr>
              <w:spacing w:line="163" w:lineRule="exact"/>
              <w:jc w:val="center"/>
              <w:rPr>
                <w:bCs/>
                <w:sz w:val="18"/>
                <w:szCs w:val="18"/>
              </w:rPr>
            </w:pPr>
          </w:p>
          <w:p w:rsidR="00DB442D" w:rsidRPr="00A90A0E" w:rsidRDefault="001911B8" w:rsidP="00261941">
            <w:pPr>
              <w:jc w:val="center"/>
              <w:rPr>
                <w:bCs/>
                <w:sz w:val="18"/>
                <w:szCs w:val="18"/>
              </w:rPr>
            </w:pPr>
            <w:r w:rsidRPr="00A90A0E">
              <w:rPr>
                <w:bCs/>
                <w:sz w:val="18"/>
                <w:szCs w:val="18"/>
              </w:rPr>
              <w:t>$0</w:t>
            </w:r>
          </w:p>
        </w:tc>
        <w:tc>
          <w:tcPr>
            <w:tcW w:w="1754" w:type="dxa"/>
          </w:tcPr>
          <w:p w:rsidR="00DB442D" w:rsidRPr="00A90A0E" w:rsidRDefault="00DB442D" w:rsidP="00F25382">
            <w:pPr>
              <w:spacing w:line="163" w:lineRule="exact"/>
              <w:jc w:val="center"/>
              <w:rPr>
                <w:bCs/>
                <w:sz w:val="18"/>
                <w:szCs w:val="18"/>
              </w:rPr>
            </w:pPr>
          </w:p>
          <w:p w:rsidR="00DB442D" w:rsidRPr="00A90A0E" w:rsidRDefault="001911B8" w:rsidP="00F25382">
            <w:pPr>
              <w:jc w:val="center"/>
              <w:rPr>
                <w:bCs/>
                <w:sz w:val="18"/>
                <w:szCs w:val="18"/>
              </w:rPr>
            </w:pPr>
            <w:r w:rsidRPr="00A90A0E">
              <w:rPr>
                <w:bCs/>
                <w:sz w:val="18"/>
                <w:szCs w:val="18"/>
              </w:rPr>
              <w:t>$0</w:t>
            </w:r>
          </w:p>
        </w:tc>
        <w:tc>
          <w:tcPr>
            <w:tcW w:w="1754" w:type="dxa"/>
          </w:tcPr>
          <w:p w:rsidR="00DB442D" w:rsidRPr="00A90A0E" w:rsidRDefault="00DB442D" w:rsidP="00F25382">
            <w:pPr>
              <w:spacing w:line="163" w:lineRule="exact"/>
              <w:jc w:val="left"/>
              <w:rPr>
                <w:bCs/>
                <w:sz w:val="18"/>
                <w:szCs w:val="18"/>
              </w:rPr>
            </w:pPr>
          </w:p>
          <w:p w:rsidR="00DB442D" w:rsidRPr="00A90A0E" w:rsidRDefault="001911B8" w:rsidP="00F25382">
            <w:pPr>
              <w:jc w:val="center"/>
              <w:rPr>
                <w:bCs/>
                <w:sz w:val="18"/>
                <w:szCs w:val="18"/>
              </w:rPr>
            </w:pPr>
            <w:r w:rsidRPr="00A90A0E">
              <w:rPr>
                <w:bCs/>
                <w:sz w:val="18"/>
                <w:szCs w:val="18"/>
              </w:rPr>
              <w:t>$0</w:t>
            </w:r>
          </w:p>
        </w:tc>
      </w:tr>
      <w:tr w:rsidR="00DB442D" w:rsidRPr="00706E47" w:rsidTr="002C205C">
        <w:trPr>
          <w:jc w:val="center"/>
        </w:trPr>
        <w:tc>
          <w:tcPr>
            <w:tcW w:w="1692" w:type="dxa"/>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Expenditures </w:t>
            </w:r>
          </w:p>
        </w:tc>
        <w:tc>
          <w:tcPr>
            <w:tcW w:w="1754" w:type="dxa"/>
            <w:vAlign w:val="bottom"/>
          </w:tcPr>
          <w:p w:rsidR="00DB442D" w:rsidRPr="00A90A0E" w:rsidRDefault="00DB442D" w:rsidP="00DB442D">
            <w:pPr>
              <w:jc w:val="center"/>
              <w:rPr>
                <w:bCs/>
                <w:sz w:val="18"/>
                <w:szCs w:val="18"/>
              </w:rPr>
            </w:pPr>
            <w:r w:rsidRPr="00A90A0E">
              <w:rPr>
                <w:bCs/>
                <w:sz w:val="18"/>
                <w:szCs w:val="18"/>
              </w:rPr>
              <w:t>$0</w:t>
            </w:r>
          </w:p>
        </w:tc>
        <w:tc>
          <w:tcPr>
            <w:tcW w:w="1754" w:type="dxa"/>
            <w:vAlign w:val="bottom"/>
          </w:tcPr>
          <w:p w:rsidR="00DB442D" w:rsidRPr="00A90A0E" w:rsidRDefault="00DB442D" w:rsidP="00DB442D">
            <w:pPr>
              <w:jc w:val="center"/>
              <w:rPr>
                <w:bCs/>
                <w:sz w:val="18"/>
                <w:szCs w:val="18"/>
              </w:rPr>
            </w:pPr>
            <w:r w:rsidRPr="00A90A0E">
              <w:rPr>
                <w:bCs/>
                <w:sz w:val="18"/>
                <w:szCs w:val="18"/>
              </w:rPr>
              <w:t>$0</w:t>
            </w:r>
          </w:p>
        </w:tc>
        <w:tc>
          <w:tcPr>
            <w:tcW w:w="1754" w:type="dxa"/>
            <w:vAlign w:val="bottom"/>
          </w:tcPr>
          <w:p w:rsidR="00DB442D" w:rsidRPr="00A90A0E" w:rsidRDefault="00DB442D" w:rsidP="00DB442D">
            <w:pPr>
              <w:jc w:val="center"/>
              <w:rPr>
                <w:bCs/>
                <w:sz w:val="18"/>
                <w:szCs w:val="18"/>
              </w:rPr>
            </w:pPr>
            <w:r w:rsidRPr="00A90A0E">
              <w:rPr>
                <w:bCs/>
                <w:sz w:val="18"/>
                <w:szCs w:val="18"/>
              </w:rPr>
              <w:t>$0</w:t>
            </w:r>
          </w:p>
        </w:tc>
      </w:tr>
      <w:tr w:rsidR="00DB442D" w:rsidRPr="00706E47" w:rsidTr="002C205C">
        <w:trPr>
          <w:jc w:val="center"/>
        </w:trPr>
        <w:tc>
          <w:tcPr>
            <w:tcW w:w="1692" w:type="dxa"/>
          </w:tcPr>
          <w:p w:rsidR="00DB442D" w:rsidRPr="00706E47" w:rsidRDefault="00DB442D" w:rsidP="00F25382">
            <w:pPr>
              <w:spacing w:line="163" w:lineRule="exact"/>
              <w:jc w:val="center"/>
              <w:rPr>
                <w:b/>
                <w:bCs/>
                <w:sz w:val="18"/>
                <w:szCs w:val="18"/>
              </w:rPr>
            </w:pPr>
          </w:p>
          <w:p w:rsidR="00DB442D" w:rsidRPr="00706E47" w:rsidRDefault="00DB442D" w:rsidP="00F25382">
            <w:pPr>
              <w:spacing w:after="58"/>
              <w:jc w:val="center"/>
              <w:rPr>
                <w:b/>
                <w:bCs/>
                <w:sz w:val="18"/>
                <w:szCs w:val="18"/>
              </w:rPr>
            </w:pPr>
            <w:r w:rsidRPr="00706E47">
              <w:rPr>
                <w:b/>
                <w:bCs/>
                <w:sz w:val="18"/>
                <w:szCs w:val="18"/>
              </w:rPr>
              <w:t>Net</w:t>
            </w:r>
          </w:p>
        </w:tc>
        <w:tc>
          <w:tcPr>
            <w:tcW w:w="1754" w:type="dxa"/>
          </w:tcPr>
          <w:p w:rsidR="00DB442D" w:rsidRPr="00A90A0E" w:rsidRDefault="00DB442D" w:rsidP="00F25382">
            <w:pPr>
              <w:spacing w:line="163" w:lineRule="exact"/>
              <w:jc w:val="center"/>
              <w:rPr>
                <w:bCs/>
                <w:sz w:val="18"/>
                <w:szCs w:val="18"/>
              </w:rPr>
            </w:pPr>
          </w:p>
          <w:p w:rsidR="00DB442D" w:rsidRPr="00A90A0E" w:rsidRDefault="001911B8" w:rsidP="00F25382">
            <w:pPr>
              <w:jc w:val="center"/>
              <w:rPr>
                <w:bCs/>
                <w:sz w:val="18"/>
                <w:szCs w:val="18"/>
              </w:rPr>
            </w:pPr>
            <w:r w:rsidRPr="00A90A0E">
              <w:rPr>
                <w:bCs/>
                <w:sz w:val="18"/>
                <w:szCs w:val="18"/>
              </w:rPr>
              <w:t>$0</w:t>
            </w:r>
          </w:p>
        </w:tc>
        <w:tc>
          <w:tcPr>
            <w:tcW w:w="1754" w:type="dxa"/>
          </w:tcPr>
          <w:p w:rsidR="00DB442D" w:rsidRPr="00A90A0E" w:rsidRDefault="00DB442D" w:rsidP="00F25382">
            <w:pPr>
              <w:spacing w:line="163" w:lineRule="exact"/>
              <w:jc w:val="center"/>
              <w:rPr>
                <w:bCs/>
                <w:sz w:val="18"/>
                <w:szCs w:val="18"/>
              </w:rPr>
            </w:pPr>
          </w:p>
          <w:p w:rsidR="00DB442D" w:rsidRPr="00A90A0E" w:rsidRDefault="001911B8" w:rsidP="00F25382">
            <w:pPr>
              <w:jc w:val="center"/>
              <w:rPr>
                <w:bCs/>
                <w:sz w:val="18"/>
                <w:szCs w:val="18"/>
              </w:rPr>
            </w:pPr>
            <w:r w:rsidRPr="00A90A0E">
              <w:rPr>
                <w:bCs/>
                <w:sz w:val="18"/>
                <w:szCs w:val="18"/>
              </w:rPr>
              <w:t>$0</w:t>
            </w:r>
          </w:p>
        </w:tc>
        <w:tc>
          <w:tcPr>
            <w:tcW w:w="1754" w:type="dxa"/>
          </w:tcPr>
          <w:p w:rsidR="00DB442D" w:rsidRPr="00A90A0E" w:rsidRDefault="00DB442D" w:rsidP="00F25382">
            <w:pPr>
              <w:spacing w:line="163" w:lineRule="exact"/>
              <w:jc w:val="center"/>
              <w:rPr>
                <w:bCs/>
                <w:sz w:val="18"/>
                <w:szCs w:val="18"/>
              </w:rPr>
            </w:pPr>
          </w:p>
          <w:p w:rsidR="00DB442D" w:rsidRPr="00A90A0E" w:rsidRDefault="001911B8" w:rsidP="00F25382">
            <w:pPr>
              <w:jc w:val="center"/>
              <w:rPr>
                <w:bCs/>
                <w:sz w:val="18"/>
                <w:szCs w:val="18"/>
              </w:rPr>
            </w:pPr>
            <w:r w:rsidRPr="00A90A0E">
              <w:rPr>
                <w:bCs/>
                <w:sz w:val="18"/>
                <w:szCs w:val="18"/>
              </w:rPr>
              <w:t>$0</w:t>
            </w:r>
          </w:p>
        </w:tc>
      </w:tr>
    </w:tbl>
    <w:p w:rsidR="00DB442D" w:rsidRPr="000A5804" w:rsidRDefault="00DB442D" w:rsidP="00DB442D">
      <w:pPr>
        <w:spacing w:before="120"/>
      </w:pPr>
    </w:p>
    <w:p w:rsidR="00DB442D" w:rsidRDefault="00DB442D" w:rsidP="001911B8">
      <w:pPr>
        <w:pBdr>
          <w:top w:val="single" w:sz="4" w:space="1" w:color="auto"/>
        </w:pBdr>
      </w:pPr>
      <w:r w:rsidRPr="00236CB4">
        <w:rPr>
          <w:b/>
          <w:smallCaps/>
          <w:sz w:val="22"/>
          <w:szCs w:val="22"/>
        </w:rPr>
        <w:t>Impact on Revenues:</w:t>
      </w:r>
      <w:r w:rsidRPr="00B15A68">
        <w:rPr>
          <w:b/>
          <w:smallCaps/>
        </w:rPr>
        <w:t xml:space="preserve"> </w:t>
      </w:r>
      <w:r w:rsidR="00C11F5A" w:rsidRPr="00592023">
        <w:t>It is estimated that there w</w:t>
      </w:r>
      <w:r w:rsidR="00853C0D">
        <w:t>ould</w:t>
      </w:r>
      <w:r w:rsidR="00C11F5A" w:rsidRPr="00592023">
        <w:t xml:space="preserve"> be no impact on revenues resulting from the enactment of this legislation.</w:t>
      </w:r>
    </w:p>
    <w:p w:rsidR="00814B2B" w:rsidRPr="00E84344" w:rsidRDefault="00DB442D" w:rsidP="00DB442D">
      <w:pPr>
        <w:spacing w:before="240"/>
      </w:pPr>
      <w:r>
        <w:rPr>
          <w:b/>
          <w:smallCaps/>
          <w:sz w:val="22"/>
          <w:szCs w:val="22"/>
        </w:rPr>
        <w:t xml:space="preserve">Impact on Expenditures: </w:t>
      </w:r>
      <w:r w:rsidR="00C11F5A">
        <w:rPr>
          <w:b/>
          <w:smallCaps/>
          <w:sz w:val="22"/>
          <w:szCs w:val="22"/>
        </w:rPr>
        <w:t xml:space="preserve"> </w:t>
      </w:r>
      <w:r w:rsidR="00073C1C" w:rsidRPr="00073C1C">
        <w:t>It is anticipated that this legislation would have no impact on expenditures because existing resources at the Department of Health and Mental Health, New York Police Department, and Department of Finance, would be used to implement this legislation.</w:t>
      </w:r>
    </w:p>
    <w:p w:rsidR="00F37B58" w:rsidRDefault="00DB442D" w:rsidP="00DB442D">
      <w:pPr>
        <w:spacing w:before="240"/>
        <w:rPr>
          <w:b/>
          <w:smallCaps/>
          <w:sz w:val="22"/>
          <w:szCs w:val="22"/>
        </w:rPr>
      </w:pPr>
      <w:r>
        <w:rPr>
          <w:b/>
          <w:smallCaps/>
          <w:sz w:val="22"/>
          <w:szCs w:val="22"/>
        </w:rPr>
        <w:t xml:space="preserve">Source of Funds To Cover Estimated Costs: </w:t>
      </w:r>
      <w:r w:rsidR="00C11F5A">
        <w:t>N/A</w:t>
      </w:r>
    </w:p>
    <w:p w:rsidR="003F64D1" w:rsidRPr="00F37B58" w:rsidRDefault="003F64D1" w:rsidP="003F64D1">
      <w:pPr>
        <w:pStyle w:val="NoSpacing"/>
      </w:pPr>
    </w:p>
    <w:p w:rsidR="001E1DEC" w:rsidRDefault="00C11F5A" w:rsidP="00310AB5">
      <w:pPr>
        <w:pStyle w:val="NoSpacing"/>
      </w:pPr>
      <w:r>
        <w:rPr>
          <w:b/>
          <w:smallCaps/>
          <w:sz w:val="22"/>
          <w:szCs w:val="22"/>
        </w:rPr>
        <w:t>Source of Information:</w:t>
      </w:r>
      <w:r>
        <w:rPr>
          <w:b/>
          <w:smallCaps/>
          <w:sz w:val="22"/>
          <w:szCs w:val="22"/>
        </w:rPr>
        <w:tab/>
      </w:r>
      <w:r w:rsidR="00F45AE4">
        <w:t>New</w:t>
      </w:r>
      <w:r w:rsidR="00DB442D">
        <w:t xml:space="preserve"> York City Council Finance Division</w:t>
      </w:r>
    </w:p>
    <w:p w:rsidR="00C11F5A" w:rsidRDefault="001E1DEC" w:rsidP="00310AB5">
      <w:pPr>
        <w:pStyle w:val="NoSpacing"/>
      </w:pPr>
      <w:r>
        <w:tab/>
      </w:r>
      <w:r>
        <w:tab/>
      </w:r>
      <w:r>
        <w:tab/>
      </w:r>
      <w:r>
        <w:tab/>
        <w:t>Office of Management and Budget</w:t>
      </w:r>
      <w:r w:rsidR="00F45AE4" w:rsidRPr="00F45AE4">
        <w:t xml:space="preserve"> </w:t>
      </w:r>
      <w:r w:rsidR="00C11F5A">
        <w:t xml:space="preserve"> </w:t>
      </w:r>
    </w:p>
    <w:p w:rsidR="00F50F25" w:rsidRPr="00F50F25" w:rsidRDefault="00C11F5A" w:rsidP="0032416F">
      <w:pPr>
        <w:pStyle w:val="NoSpacing"/>
        <w:spacing w:before="120"/>
      </w:pPr>
      <w:r>
        <w:rPr>
          <w:b/>
          <w:smallCaps/>
        </w:rPr>
        <w:t>Estimate Prepared By:</w:t>
      </w:r>
      <w:r w:rsidR="003F5CA6">
        <w:tab/>
      </w:r>
      <w:r w:rsidR="009C64E4">
        <w:t>Ellen Eng, Legislative Financial Analyst</w:t>
      </w:r>
    </w:p>
    <w:p w:rsidR="00DB442D" w:rsidRPr="006E1466" w:rsidRDefault="00F50F25" w:rsidP="00DB442D">
      <w:pPr>
        <w:rPr>
          <w:sz w:val="22"/>
          <w:szCs w:val="22"/>
        </w:rPr>
      </w:pPr>
      <w:r>
        <w:rPr>
          <w:b/>
          <w:smallCaps/>
          <w:sz w:val="22"/>
          <w:szCs w:val="22"/>
        </w:rPr>
        <w:tab/>
      </w:r>
      <w:r>
        <w:rPr>
          <w:b/>
          <w:smallCaps/>
          <w:sz w:val="22"/>
          <w:szCs w:val="22"/>
        </w:rPr>
        <w:tab/>
      </w:r>
    </w:p>
    <w:p w:rsidR="005C29A6" w:rsidRDefault="00253FDF" w:rsidP="005C29A6">
      <w:pPr>
        <w:ind w:left="3600" w:hanging="3600"/>
      </w:pPr>
      <w:r>
        <w:rPr>
          <w:b/>
          <w:smallCaps/>
          <w:sz w:val="22"/>
          <w:szCs w:val="22"/>
        </w:rPr>
        <w:t>Estimate Reviewed By:</w:t>
      </w:r>
      <w:r w:rsidR="008077D7">
        <w:rPr>
          <w:b/>
          <w:smallCaps/>
        </w:rPr>
        <w:t xml:space="preserve"> </w:t>
      </w:r>
      <w:r w:rsidR="00310FF0">
        <w:rPr>
          <w:b/>
          <w:smallCaps/>
        </w:rPr>
        <w:t xml:space="preserve"> </w:t>
      </w:r>
      <w:r w:rsidR="00E70B49">
        <w:rPr>
          <w:b/>
          <w:smallCaps/>
        </w:rPr>
        <w:t xml:space="preserve">    </w:t>
      </w:r>
      <w:r w:rsidR="009C64E4">
        <w:t>Regina Poreda Ryan, Deputy Director</w:t>
      </w:r>
      <w:r w:rsidR="009F1717">
        <w:t>, New York City Council Finance Division</w:t>
      </w:r>
    </w:p>
    <w:p w:rsidR="00253FDF" w:rsidRDefault="001911B8" w:rsidP="005C29A6">
      <w:pPr>
        <w:ind w:left="3600" w:hanging="1440"/>
      </w:pPr>
      <w:r>
        <w:t xml:space="preserve">       </w:t>
      </w:r>
      <w:r w:rsidR="00310FF0">
        <w:t xml:space="preserve">  </w:t>
      </w:r>
      <w:r w:rsidR="00D03C1A">
        <w:t xml:space="preserve"> </w:t>
      </w:r>
      <w:r w:rsidR="005C29A6" w:rsidRPr="00F50F25">
        <w:t>R</w:t>
      </w:r>
      <w:r w:rsidR="005C29A6">
        <w:t>ebecca Chasan</w:t>
      </w:r>
      <w:r w:rsidR="005C29A6" w:rsidRPr="00F50F25">
        <w:t xml:space="preserve">, </w:t>
      </w:r>
      <w:r w:rsidR="005C29A6">
        <w:t xml:space="preserve">Assistant Counsel, </w:t>
      </w:r>
      <w:r w:rsidR="005C29A6" w:rsidRPr="00F50F25">
        <w:t>New York City Council Finance Division</w:t>
      </w:r>
    </w:p>
    <w:p w:rsidR="00A12A0E" w:rsidRPr="008077D7" w:rsidRDefault="00A12A0E" w:rsidP="005C29A6">
      <w:pPr>
        <w:ind w:left="3600" w:hanging="1440"/>
      </w:pPr>
      <w:r>
        <w:t xml:space="preserve">         </w:t>
      </w:r>
      <w:r w:rsidR="00D03C1A">
        <w:t xml:space="preserve"> </w:t>
      </w:r>
      <w:r>
        <w:t>Tanisha Edwards, Chief Counsel, New York City Council Finance Division</w:t>
      </w:r>
    </w:p>
    <w:p w:rsidR="00DC66B5" w:rsidRDefault="00DB442D" w:rsidP="00DB442D">
      <w:pPr>
        <w:spacing w:before="240"/>
      </w:pPr>
      <w:r w:rsidRPr="000B7EB0">
        <w:rPr>
          <w:b/>
          <w:smallCaps/>
          <w:sz w:val="22"/>
          <w:szCs w:val="22"/>
        </w:rPr>
        <w:lastRenderedPageBreak/>
        <w:t>Legislative History:</w:t>
      </w:r>
      <w:r>
        <w:rPr>
          <w:b/>
          <w:smallCaps/>
          <w:sz w:val="22"/>
          <w:szCs w:val="22"/>
        </w:rPr>
        <w:t xml:space="preserve"> </w:t>
      </w:r>
      <w:r w:rsidR="00482E46" w:rsidRPr="00482E46">
        <w:t xml:space="preserve">Intro. No. </w:t>
      </w:r>
      <w:r w:rsidR="000A605B">
        <w:t>897</w:t>
      </w:r>
      <w:r w:rsidR="00482E46" w:rsidRPr="00482E46">
        <w:t xml:space="preserve"> was introduced to the Council on September 17, 2015 and referred to the Committee on Public Safety. The Committee on Public Safety held a hearing jointly with the Committee on Consumer Affairs</w:t>
      </w:r>
      <w:r w:rsidR="00D30ACA">
        <w:t>; the</w:t>
      </w:r>
      <w:r w:rsidR="00482E46" w:rsidRPr="00482E46">
        <w:t xml:space="preserve"> Committee on Health</w:t>
      </w:r>
      <w:r w:rsidR="00D30ACA">
        <w:t>;</w:t>
      </w:r>
      <w:r w:rsidR="00482E46" w:rsidRPr="00482E46">
        <w:t xml:space="preserve"> and the Committee on Mental Health, Developmental Disability, Alcoholism, Substance Abuse, and Disability Services on Intro. No. </w:t>
      </w:r>
      <w:r w:rsidR="000A605B">
        <w:t>897</w:t>
      </w:r>
      <w:r w:rsidR="00482E46" w:rsidRPr="00482E46">
        <w:t xml:space="preserve"> on September 21, 2015 and the legislation </w:t>
      </w:r>
      <w:proofErr w:type="gramStart"/>
      <w:r w:rsidR="00482E46" w:rsidRPr="00482E46">
        <w:t>was</w:t>
      </w:r>
      <w:proofErr w:type="gramEnd"/>
      <w:r w:rsidR="00482E46" w:rsidRPr="00482E46">
        <w:t xml:space="preserve"> laid over. </w:t>
      </w:r>
      <w:r w:rsidR="00D30ACA">
        <w:t>The Committee on Public Safety will consider the legislation at a hearing on September 25, 2015, and u</w:t>
      </w:r>
      <w:r w:rsidR="00482E46" w:rsidRPr="00482E46">
        <w:t>pon successful</w:t>
      </w:r>
      <w:r w:rsidR="000A605B">
        <w:t xml:space="preserve"> vote by the Committee, Intro. </w:t>
      </w:r>
      <w:r w:rsidR="00D30ACA">
        <w:t xml:space="preserve">No. </w:t>
      </w:r>
      <w:r w:rsidR="000A605B">
        <w:t xml:space="preserve">897 </w:t>
      </w:r>
      <w:r w:rsidR="00482E46" w:rsidRPr="00482E46">
        <w:t xml:space="preserve">will be submitted to the full Council for a vote on </w:t>
      </w:r>
      <w:r w:rsidR="003B783E">
        <w:t>September 30, 2015.</w:t>
      </w:r>
    </w:p>
    <w:p w:rsidR="00867D63" w:rsidRPr="00AF13B3" w:rsidRDefault="00DB442D" w:rsidP="00AF13B3">
      <w:pPr>
        <w:spacing w:before="120"/>
        <w:rPr>
          <w:sz w:val="22"/>
          <w:szCs w:val="22"/>
        </w:rPr>
      </w:pPr>
      <w:r>
        <w:rPr>
          <w:b/>
          <w:smallCaps/>
          <w:sz w:val="22"/>
          <w:szCs w:val="22"/>
        </w:rPr>
        <w:t xml:space="preserve">Date </w:t>
      </w:r>
      <w:r w:rsidR="00886309">
        <w:rPr>
          <w:b/>
          <w:smallCaps/>
          <w:sz w:val="22"/>
          <w:szCs w:val="22"/>
        </w:rPr>
        <w:t>prepared</w:t>
      </w:r>
      <w:r>
        <w:rPr>
          <w:b/>
          <w:smallCaps/>
          <w:sz w:val="22"/>
          <w:szCs w:val="22"/>
        </w:rPr>
        <w:t xml:space="preserve">:  </w:t>
      </w:r>
      <w:r w:rsidR="001B2F49">
        <w:t xml:space="preserve">September </w:t>
      </w:r>
      <w:r w:rsidR="00482E46">
        <w:t>21</w:t>
      </w:r>
      <w:r w:rsidR="001B2F49">
        <w:t>, 2015</w:t>
      </w:r>
    </w:p>
    <w:sectPr w:rsidR="00867D63" w:rsidRPr="00AF13B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CE" w:rsidRDefault="004D17CE">
      <w:r>
        <w:separator/>
      </w:r>
    </w:p>
  </w:endnote>
  <w:endnote w:type="continuationSeparator" w:id="0">
    <w:p w:rsidR="004D17CE" w:rsidRDefault="004D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DB1B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w:t>
    </w:r>
    <w:r w:rsidR="00D30ACA">
      <w:rPr>
        <w:rFonts w:asciiTheme="majorHAnsi" w:eastAsiaTheme="majorEastAsia" w:hAnsiTheme="majorHAnsi" w:cstheme="majorBidi"/>
      </w:rPr>
      <w:t>ro</w:t>
    </w:r>
    <w:r>
      <w:rPr>
        <w:rFonts w:asciiTheme="majorHAnsi" w:eastAsiaTheme="majorEastAsia" w:hAnsiTheme="majorHAnsi" w:cstheme="majorBidi"/>
      </w:rPr>
      <w:t>.</w:t>
    </w:r>
    <w:r w:rsidR="00D30ACA">
      <w:rPr>
        <w:rFonts w:asciiTheme="majorHAnsi" w:eastAsiaTheme="majorEastAsia" w:hAnsiTheme="majorHAnsi" w:cstheme="majorBidi"/>
      </w:rPr>
      <w:t xml:space="preserve"> No.</w:t>
    </w:r>
    <w:r>
      <w:rPr>
        <w:rFonts w:asciiTheme="majorHAnsi" w:eastAsiaTheme="majorEastAsia" w:hAnsiTheme="majorHAnsi" w:cstheme="majorBidi"/>
      </w:rPr>
      <w:t xml:space="preserve"> </w:t>
    </w:r>
    <w:r w:rsidR="006F507F">
      <w:rPr>
        <w:rFonts w:asciiTheme="majorHAnsi" w:eastAsiaTheme="majorEastAsia" w:hAnsiTheme="majorHAnsi" w:cstheme="majorBidi"/>
      </w:rPr>
      <w:t>897</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2D0018" w:rsidRPr="002D0018">
      <w:rPr>
        <w:rFonts w:asciiTheme="majorHAnsi" w:eastAsiaTheme="majorEastAsia" w:hAnsiTheme="majorHAnsi" w:cstheme="majorBidi"/>
        <w:noProof/>
      </w:rPr>
      <w:t>2</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CE" w:rsidRDefault="004D17CE">
      <w:r>
        <w:separator/>
      </w:r>
    </w:p>
  </w:footnote>
  <w:footnote w:type="continuationSeparator" w:id="0">
    <w:p w:rsidR="004D17CE" w:rsidRDefault="004D1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D"/>
    <w:rsid w:val="00026C51"/>
    <w:rsid w:val="0004577A"/>
    <w:rsid w:val="00073C1C"/>
    <w:rsid w:val="000A03F9"/>
    <w:rsid w:val="000A605B"/>
    <w:rsid w:val="000A76BB"/>
    <w:rsid w:val="000B233B"/>
    <w:rsid w:val="000F61D0"/>
    <w:rsid w:val="00130D90"/>
    <w:rsid w:val="001617A5"/>
    <w:rsid w:val="001717E2"/>
    <w:rsid w:val="00183067"/>
    <w:rsid w:val="001911B8"/>
    <w:rsid w:val="001942F4"/>
    <w:rsid w:val="001B26A5"/>
    <w:rsid w:val="001B2F49"/>
    <w:rsid w:val="001D0FD9"/>
    <w:rsid w:val="001E1DEC"/>
    <w:rsid w:val="001E3EFD"/>
    <w:rsid w:val="002227B1"/>
    <w:rsid w:val="00236CB4"/>
    <w:rsid w:val="00253FDF"/>
    <w:rsid w:val="00261941"/>
    <w:rsid w:val="002C002B"/>
    <w:rsid w:val="002C205C"/>
    <w:rsid w:val="002C4DAA"/>
    <w:rsid w:val="002C5783"/>
    <w:rsid w:val="002D0018"/>
    <w:rsid w:val="00310AB5"/>
    <w:rsid w:val="00310FF0"/>
    <w:rsid w:val="0032416F"/>
    <w:rsid w:val="00324DD7"/>
    <w:rsid w:val="003601C5"/>
    <w:rsid w:val="003666CC"/>
    <w:rsid w:val="0038179A"/>
    <w:rsid w:val="003950EA"/>
    <w:rsid w:val="003B54A1"/>
    <w:rsid w:val="003B783E"/>
    <w:rsid w:val="003F5CA6"/>
    <w:rsid w:val="003F64D1"/>
    <w:rsid w:val="004035E3"/>
    <w:rsid w:val="00425D7C"/>
    <w:rsid w:val="004312F2"/>
    <w:rsid w:val="004767B9"/>
    <w:rsid w:val="00482E46"/>
    <w:rsid w:val="004B5A9D"/>
    <w:rsid w:val="004D17CE"/>
    <w:rsid w:val="004D7B0F"/>
    <w:rsid w:val="0050307F"/>
    <w:rsid w:val="00527EC7"/>
    <w:rsid w:val="0057694F"/>
    <w:rsid w:val="005B7DE1"/>
    <w:rsid w:val="005C29A6"/>
    <w:rsid w:val="005C7DFA"/>
    <w:rsid w:val="00602FDE"/>
    <w:rsid w:val="006419C8"/>
    <w:rsid w:val="0064551D"/>
    <w:rsid w:val="00665B65"/>
    <w:rsid w:val="006906D9"/>
    <w:rsid w:val="006963CB"/>
    <w:rsid w:val="006D25DB"/>
    <w:rsid w:val="006D6EC0"/>
    <w:rsid w:val="006F507F"/>
    <w:rsid w:val="00760ECB"/>
    <w:rsid w:val="00770C39"/>
    <w:rsid w:val="0078152F"/>
    <w:rsid w:val="007B6907"/>
    <w:rsid w:val="007B74A9"/>
    <w:rsid w:val="007C24EB"/>
    <w:rsid w:val="008077D7"/>
    <w:rsid w:val="00814B2B"/>
    <w:rsid w:val="00837486"/>
    <w:rsid w:val="0085363D"/>
    <w:rsid w:val="00853C0D"/>
    <w:rsid w:val="00867846"/>
    <w:rsid w:val="00867D63"/>
    <w:rsid w:val="00872F34"/>
    <w:rsid w:val="00886309"/>
    <w:rsid w:val="009151DD"/>
    <w:rsid w:val="00916CD0"/>
    <w:rsid w:val="00955EA8"/>
    <w:rsid w:val="00961C52"/>
    <w:rsid w:val="00995E99"/>
    <w:rsid w:val="009C64E4"/>
    <w:rsid w:val="009E237D"/>
    <w:rsid w:val="009E6BA9"/>
    <w:rsid w:val="009F1717"/>
    <w:rsid w:val="00A12A0E"/>
    <w:rsid w:val="00A15E91"/>
    <w:rsid w:val="00A2174C"/>
    <w:rsid w:val="00A2791A"/>
    <w:rsid w:val="00A37F64"/>
    <w:rsid w:val="00A4523C"/>
    <w:rsid w:val="00A67016"/>
    <w:rsid w:val="00A752FF"/>
    <w:rsid w:val="00A76DF7"/>
    <w:rsid w:val="00A80586"/>
    <w:rsid w:val="00A90A0E"/>
    <w:rsid w:val="00AB65F1"/>
    <w:rsid w:val="00AF13B3"/>
    <w:rsid w:val="00B15A68"/>
    <w:rsid w:val="00B8241D"/>
    <w:rsid w:val="00B84E74"/>
    <w:rsid w:val="00B97443"/>
    <w:rsid w:val="00BC4817"/>
    <w:rsid w:val="00BD44DC"/>
    <w:rsid w:val="00BE5C36"/>
    <w:rsid w:val="00C04150"/>
    <w:rsid w:val="00C10D5D"/>
    <w:rsid w:val="00C11F5A"/>
    <w:rsid w:val="00C20BA3"/>
    <w:rsid w:val="00C22979"/>
    <w:rsid w:val="00C33CD5"/>
    <w:rsid w:val="00C742A8"/>
    <w:rsid w:val="00CA552C"/>
    <w:rsid w:val="00CD3B80"/>
    <w:rsid w:val="00D03C1A"/>
    <w:rsid w:val="00D06796"/>
    <w:rsid w:val="00D20C79"/>
    <w:rsid w:val="00D30ACA"/>
    <w:rsid w:val="00D771C3"/>
    <w:rsid w:val="00DB1BE3"/>
    <w:rsid w:val="00DB442D"/>
    <w:rsid w:val="00DB595E"/>
    <w:rsid w:val="00DC66B5"/>
    <w:rsid w:val="00DD3B62"/>
    <w:rsid w:val="00E10655"/>
    <w:rsid w:val="00E119D6"/>
    <w:rsid w:val="00E32A8B"/>
    <w:rsid w:val="00E35E58"/>
    <w:rsid w:val="00E619B2"/>
    <w:rsid w:val="00E70B49"/>
    <w:rsid w:val="00E84344"/>
    <w:rsid w:val="00ED7113"/>
    <w:rsid w:val="00ED7805"/>
    <w:rsid w:val="00EE67F5"/>
    <w:rsid w:val="00F37B58"/>
    <w:rsid w:val="00F45AE4"/>
    <w:rsid w:val="00F50F25"/>
    <w:rsid w:val="00F71B37"/>
    <w:rsid w:val="00F962EF"/>
    <w:rsid w:val="00FE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452B-A12B-466E-BFFA-E4E88785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New York City Council</cp:lastModifiedBy>
  <cp:revision>8</cp:revision>
  <cp:lastPrinted>2015-09-23T14:31:00Z</cp:lastPrinted>
  <dcterms:created xsi:type="dcterms:W3CDTF">2015-09-24T21:38:00Z</dcterms:created>
  <dcterms:modified xsi:type="dcterms:W3CDTF">2015-09-30T13:39:00Z</dcterms:modified>
</cp:coreProperties>
</file>