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DB442D">
        <w:trPr>
          <w:jc w:val="center"/>
        </w:trPr>
        <w:tc>
          <w:tcPr>
            <w:tcW w:w="6006" w:type="dxa"/>
            <w:tcBorders>
              <w:bottom w:val="single" w:sz="4" w:space="0" w:color="auto"/>
            </w:tcBorders>
          </w:tcPr>
          <w:p w:rsidR="00DB442D" w:rsidRDefault="00DB442D" w:rsidP="007A4C6C">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DB442D" w:rsidRDefault="00DB442D" w:rsidP="007A4C6C"/>
        </w:tc>
        <w:tc>
          <w:tcPr>
            <w:tcW w:w="4869" w:type="dxa"/>
            <w:tcBorders>
              <w:bottom w:val="single" w:sz="4" w:space="0" w:color="auto"/>
            </w:tcBorders>
          </w:tcPr>
          <w:p w:rsidR="00DB442D" w:rsidRDefault="00DB442D" w:rsidP="007A4C6C">
            <w:pPr>
              <w:rPr>
                <w:b/>
                <w:bCs/>
                <w:smallCaps/>
              </w:rPr>
            </w:pPr>
            <w:r>
              <w:rPr>
                <w:b/>
                <w:bCs/>
                <w:smallCaps/>
              </w:rPr>
              <w:t>The Council of the City of New York</w:t>
            </w:r>
          </w:p>
          <w:p w:rsidR="00DB442D" w:rsidRDefault="00DB442D" w:rsidP="007A4C6C">
            <w:pPr>
              <w:rPr>
                <w:b/>
                <w:bCs/>
                <w:smallCaps/>
              </w:rPr>
            </w:pPr>
            <w:r>
              <w:rPr>
                <w:b/>
                <w:bCs/>
                <w:smallCaps/>
              </w:rPr>
              <w:t>Finance Division</w:t>
            </w:r>
          </w:p>
          <w:p w:rsidR="00DB442D" w:rsidRDefault="00DB442D" w:rsidP="007A4C6C">
            <w:pPr>
              <w:spacing w:before="120"/>
              <w:rPr>
                <w:b/>
                <w:bCs/>
                <w:smallCaps/>
              </w:rPr>
            </w:pPr>
            <w:r>
              <w:rPr>
                <w:b/>
                <w:bCs/>
                <w:smallCaps/>
              </w:rPr>
              <w:t>Latonia McKinney, Director</w:t>
            </w:r>
          </w:p>
          <w:p w:rsidR="00DB442D" w:rsidRDefault="00DB442D" w:rsidP="007A4C6C">
            <w:pPr>
              <w:spacing w:before="120"/>
            </w:pPr>
            <w:r>
              <w:rPr>
                <w:b/>
                <w:bCs/>
                <w:smallCaps/>
              </w:rPr>
              <w:t>Fiscal Impact Statement</w:t>
            </w:r>
          </w:p>
          <w:p w:rsidR="00DB442D" w:rsidRPr="00ED74D9" w:rsidRDefault="00DB442D" w:rsidP="007A4C6C">
            <w:pPr>
              <w:rPr>
                <w:b/>
                <w:bCs/>
                <w:sz w:val="16"/>
                <w:szCs w:val="16"/>
              </w:rPr>
            </w:pPr>
          </w:p>
          <w:p w:rsidR="00DB442D" w:rsidRPr="00A267C7" w:rsidRDefault="001A33FF" w:rsidP="007A4C6C">
            <w:pPr>
              <w:rPr>
                <w:color w:val="FF0000"/>
                <w:sz w:val="16"/>
                <w:szCs w:val="16"/>
              </w:rPr>
            </w:pPr>
            <w:r>
              <w:rPr>
                <w:b/>
                <w:bCs/>
                <w:smallCaps/>
              </w:rPr>
              <w:t xml:space="preserve">Proposed </w:t>
            </w:r>
            <w:r w:rsidR="00DB442D">
              <w:rPr>
                <w:b/>
                <w:bCs/>
                <w:smallCaps/>
              </w:rPr>
              <w:t>Intro.</w:t>
            </w:r>
            <w:r w:rsidR="00C22979">
              <w:rPr>
                <w:b/>
                <w:bCs/>
                <w:smallCaps/>
              </w:rPr>
              <w:t xml:space="preserve"> </w:t>
            </w:r>
            <w:r w:rsidR="001E3EFD">
              <w:rPr>
                <w:b/>
                <w:bCs/>
                <w:smallCaps/>
              </w:rPr>
              <w:t>No</w:t>
            </w:r>
            <w:r w:rsidR="00886309">
              <w:rPr>
                <w:b/>
                <w:bCs/>
                <w:smallCaps/>
              </w:rPr>
              <w:t>.</w:t>
            </w:r>
            <w:r w:rsidR="001E3EFD">
              <w:rPr>
                <w:b/>
                <w:bCs/>
                <w:smallCaps/>
              </w:rPr>
              <w:t xml:space="preserve">: </w:t>
            </w:r>
            <w:r>
              <w:rPr>
                <w:b/>
                <w:bCs/>
                <w:smallCaps/>
              </w:rPr>
              <w:t xml:space="preserve"> </w:t>
            </w:r>
            <w:r w:rsidR="00F84202">
              <w:rPr>
                <w:b/>
                <w:bCs/>
                <w:smallCaps/>
              </w:rPr>
              <w:t>358</w:t>
            </w:r>
            <w:r w:rsidRPr="001A33FF">
              <w:rPr>
                <w:b/>
                <w:bCs/>
                <w:smallCaps/>
              </w:rPr>
              <w:t>-A</w:t>
            </w:r>
            <w:r w:rsidRPr="001A33FF">
              <w:rPr>
                <w:b/>
                <w:bCs/>
                <w:smallCaps/>
              </w:rPr>
              <w:cr/>
            </w:r>
          </w:p>
          <w:p w:rsidR="00DB442D" w:rsidRPr="00A267C7" w:rsidRDefault="00DB442D" w:rsidP="001A33FF">
            <w:pPr>
              <w:tabs>
                <w:tab w:val="left" w:pos="-1440"/>
              </w:tabs>
              <w:ind w:left="1440" w:hanging="1440"/>
              <w:jc w:val="left"/>
              <w:rPr>
                <w:color w:val="FF0000"/>
              </w:rPr>
            </w:pPr>
            <w:r>
              <w:rPr>
                <w:b/>
                <w:bCs/>
                <w:smallCaps/>
              </w:rPr>
              <w:t>Committee</w:t>
            </w:r>
            <w:r>
              <w:rPr>
                <w:b/>
                <w:bCs/>
              </w:rPr>
              <w:t xml:space="preserve">: </w:t>
            </w:r>
            <w:r w:rsidR="001A33FF" w:rsidRPr="001D35CD">
              <w:rPr>
                <w:bCs/>
              </w:rPr>
              <w:t>Health</w:t>
            </w:r>
          </w:p>
        </w:tc>
      </w:tr>
      <w:tr w:rsidR="00DB442D" w:rsidRPr="00ED74D9">
        <w:trPr>
          <w:jc w:val="center"/>
        </w:trPr>
        <w:tc>
          <w:tcPr>
            <w:tcW w:w="6006" w:type="dxa"/>
            <w:tcBorders>
              <w:top w:val="single" w:sz="4" w:space="0" w:color="auto"/>
            </w:tcBorders>
          </w:tcPr>
          <w:p w:rsidR="00DB442D" w:rsidRPr="00ED74D9" w:rsidRDefault="00814B2B" w:rsidP="007A4C6C">
            <w:pPr>
              <w:widowControl w:val="0"/>
              <w:autoSpaceDE w:val="0"/>
              <w:autoSpaceDN w:val="0"/>
              <w:adjustRightInd w:val="0"/>
            </w:pPr>
            <w:r>
              <w:rPr>
                <w:b/>
                <w:bCs/>
                <w:smallCaps/>
                <w:sz w:val="22"/>
                <w:szCs w:val="22"/>
              </w:rPr>
              <w:t>title:</w:t>
            </w:r>
            <w:r w:rsidRPr="005E650C">
              <w:rPr>
                <w:b/>
                <w:bCs/>
                <w:sz w:val="22"/>
                <w:szCs w:val="22"/>
              </w:rPr>
              <w:t xml:space="preserve"> </w:t>
            </w:r>
            <w:r>
              <w:t xml:space="preserve">A </w:t>
            </w:r>
            <w:r w:rsidR="0085363D">
              <w:t>local law</w:t>
            </w:r>
            <w:r>
              <w:t xml:space="preserve"> to amend the administrative </w:t>
            </w:r>
            <w:r w:rsidR="00645C48">
              <w:t>code of the city of New York</w:t>
            </w:r>
            <w:r w:rsidR="001A33FF" w:rsidRPr="001A33FF">
              <w:t xml:space="preserve">, in relation to regulating </w:t>
            </w:r>
            <w:r w:rsidR="007A4C6C">
              <w:t>social adult day care</w:t>
            </w:r>
            <w:r w:rsidR="001A33FF" w:rsidRPr="001A33FF">
              <w:t>.</w:t>
            </w:r>
          </w:p>
        </w:tc>
        <w:tc>
          <w:tcPr>
            <w:tcW w:w="4869" w:type="dxa"/>
            <w:tcBorders>
              <w:top w:val="single" w:sz="4" w:space="0" w:color="auto"/>
            </w:tcBorders>
          </w:tcPr>
          <w:p w:rsidR="00EF3B45" w:rsidRDefault="00DB442D" w:rsidP="003B6414">
            <w:pPr>
              <w:widowControl w:val="0"/>
              <w:autoSpaceDE w:val="0"/>
              <w:autoSpaceDN w:val="0"/>
              <w:adjustRightInd w:val="0"/>
              <w:ind w:left="130"/>
              <w:rPr>
                <w:b/>
                <w:bCs/>
                <w:color w:val="345A8A" w:themeColor="accent1" w:themeShade="B5"/>
                <w:sz w:val="32"/>
                <w:szCs w:val="32"/>
              </w:rPr>
            </w:pPr>
            <w:r w:rsidRPr="005E650C">
              <w:rPr>
                <w:b/>
                <w:bCs/>
                <w:smallCaps/>
                <w:sz w:val="22"/>
                <w:szCs w:val="22"/>
              </w:rPr>
              <w:t>Sponsor</w:t>
            </w:r>
            <w:r w:rsidR="003B6414">
              <w:rPr>
                <w:b/>
                <w:bCs/>
                <w:smallCaps/>
                <w:sz w:val="22"/>
                <w:szCs w:val="22"/>
              </w:rPr>
              <w:t>s</w:t>
            </w:r>
            <w:r w:rsidRPr="005E650C">
              <w:rPr>
                <w:b/>
                <w:bCs/>
                <w:sz w:val="22"/>
                <w:szCs w:val="22"/>
              </w:rPr>
              <w:t xml:space="preserve">: </w:t>
            </w:r>
            <w:r w:rsidR="00253FDF" w:rsidRPr="000671E9">
              <w:t>Council Member</w:t>
            </w:r>
            <w:r w:rsidR="00253FDF">
              <w:t>s</w:t>
            </w:r>
            <w:r w:rsidR="001A33FF">
              <w:t xml:space="preserve"> </w:t>
            </w:r>
            <w:r w:rsidR="00F84202" w:rsidRPr="00F84202">
              <w:t xml:space="preserve"> Chin, Vallone, Johnson, Arroyo, Vacca, Dickens, Koo, Levine, Rose, Wills, Rodriguez, Mendez, Koslowitz, Rosenthal, Deutsch, Cohen, Dromm, Barron, Constantinides, Crowley, Lancman, Lander, Treyger, </w:t>
            </w:r>
            <w:proofErr w:type="spellStart"/>
            <w:r w:rsidR="00F84202" w:rsidRPr="00F84202">
              <w:t>Kallos</w:t>
            </w:r>
            <w:proofErr w:type="spellEnd"/>
            <w:r w:rsidR="00F84202" w:rsidRPr="00F84202">
              <w:t xml:space="preserve">, Levin, Menchaca, Miller, Ferreras, </w:t>
            </w:r>
            <w:proofErr w:type="spellStart"/>
            <w:r w:rsidR="00F84202" w:rsidRPr="00F84202">
              <w:t>Maisel</w:t>
            </w:r>
            <w:proofErr w:type="spellEnd"/>
            <w:r w:rsidR="00F84202" w:rsidRPr="00F84202">
              <w:t xml:space="preserve">, Gentile, Cabrera, Cornegy, Gibson, Greenfield, Mealy, Reynoso, Torres, Weprin, Cumbo, Van Bramer, Espinal, Richards, </w:t>
            </w:r>
            <w:proofErr w:type="spellStart"/>
            <w:r w:rsidR="00F84202" w:rsidRPr="00F84202">
              <w:t>Garodnick</w:t>
            </w:r>
            <w:proofErr w:type="spellEnd"/>
            <w:r w:rsidR="00F84202" w:rsidRPr="00F84202">
              <w:t>, King, Palma, Williams and Ulrich</w:t>
            </w:r>
            <w:r w:rsidR="003B6414">
              <w:t>.</w:t>
            </w:r>
          </w:p>
        </w:tc>
      </w:tr>
    </w:tbl>
    <w:p w:rsidR="00527EC7" w:rsidRDefault="00DB442D" w:rsidP="001911B8">
      <w:pPr>
        <w:pBdr>
          <w:top w:val="single" w:sz="4" w:space="1" w:color="auto"/>
        </w:pBdr>
      </w:pPr>
      <w:r w:rsidRPr="00DB442D">
        <w:rPr>
          <w:b/>
          <w:smallCaps/>
        </w:rPr>
        <w:t xml:space="preserve">Summary of Legislation: </w:t>
      </w:r>
    </w:p>
    <w:p w:rsidR="007A2652" w:rsidRDefault="007B6073" w:rsidP="007B6073">
      <w:pPr>
        <w:spacing w:before="240"/>
        <w:contextualSpacing/>
      </w:pPr>
      <w:r>
        <w:rPr>
          <w:szCs w:val="22"/>
        </w:rPr>
        <w:t>Proposed Int</w:t>
      </w:r>
      <w:r w:rsidR="007A4C6C">
        <w:rPr>
          <w:szCs w:val="22"/>
        </w:rPr>
        <w:t>ro</w:t>
      </w:r>
      <w:r>
        <w:rPr>
          <w:szCs w:val="22"/>
        </w:rPr>
        <w:t xml:space="preserve">. No. </w:t>
      </w:r>
      <w:r w:rsidR="00F84202">
        <w:rPr>
          <w:szCs w:val="22"/>
        </w:rPr>
        <w:t>358</w:t>
      </w:r>
      <w:r>
        <w:rPr>
          <w:szCs w:val="22"/>
        </w:rPr>
        <w:t xml:space="preserve">-A </w:t>
      </w:r>
      <w:r w:rsidRPr="00A36765">
        <w:rPr>
          <w:szCs w:val="22"/>
        </w:rPr>
        <w:t>would</w:t>
      </w:r>
      <w:r>
        <w:rPr>
          <w:szCs w:val="22"/>
        </w:rPr>
        <w:t xml:space="preserve"> </w:t>
      </w:r>
      <w:r w:rsidR="007A2652">
        <w:rPr>
          <w:szCs w:val="22"/>
        </w:rPr>
        <w:t>require all s</w:t>
      </w:r>
      <w:r w:rsidR="007A2652">
        <w:t>ocial adult day care</w:t>
      </w:r>
      <w:r w:rsidR="007A4C6C">
        <w:t>s, which are programs that provide functionally impaired individuals with personal care, nutritious meals, and the opportunity to socialize in a safe, supervised, setting,</w:t>
      </w:r>
      <w:r w:rsidR="007A2652">
        <w:t xml:space="preserve"> in New York City to register with the Department for the Aging (DFTA)</w:t>
      </w:r>
      <w:r w:rsidR="007A4C6C">
        <w:t xml:space="preserve"> even if the social day care does not receive City or State funding. The legislation would also require these social day cares</w:t>
      </w:r>
      <w:r w:rsidR="007A2652">
        <w:t xml:space="preserve"> to adhere to basic standards on participant eligibility, program services and administration, staffing, and facilities</w:t>
      </w:r>
      <w:r w:rsidR="007A4C6C">
        <w:t xml:space="preserve"> in the same manner as the social day cares that do receive City or State funding</w:t>
      </w:r>
      <w:r w:rsidR="007A2652">
        <w:t xml:space="preserve">. </w:t>
      </w:r>
      <w:r w:rsidR="00D7480E">
        <w:t>Civil p</w:t>
      </w:r>
      <w:r w:rsidR="007A2652">
        <w:t>enalties for violation</w:t>
      </w:r>
      <w:r w:rsidR="007A4C6C">
        <w:t>s</w:t>
      </w:r>
      <w:r w:rsidR="00D7480E">
        <w:t xml:space="preserve"> of rules promulgated by</w:t>
      </w:r>
      <w:r w:rsidR="007A4C6C">
        <w:t xml:space="preserve"> DFTA</w:t>
      </w:r>
      <w:r w:rsidR="007A2652">
        <w:t xml:space="preserve"> </w:t>
      </w:r>
      <w:r w:rsidR="007A4C6C">
        <w:t xml:space="preserve">would </w:t>
      </w:r>
      <w:r w:rsidR="007A2652">
        <w:t xml:space="preserve">range from $250 to $500 per day, except that failure to register </w:t>
      </w:r>
      <w:r w:rsidR="007A4C6C">
        <w:t xml:space="preserve">would </w:t>
      </w:r>
      <w:r w:rsidR="007A2652">
        <w:t xml:space="preserve">result in a penalty of $250 to $1,000 per day. </w:t>
      </w:r>
      <w:r w:rsidR="00D7480E">
        <w:t>The notices of violation for these violations would be issued by the Department of Consumer Affairs (DCA) or another agency designated by the Mayor.</w:t>
      </w:r>
    </w:p>
    <w:p w:rsidR="007A2652" w:rsidRDefault="007A2652" w:rsidP="007B6073">
      <w:pPr>
        <w:spacing w:before="240"/>
        <w:contextualSpacing/>
      </w:pPr>
    </w:p>
    <w:p w:rsidR="00777F5F" w:rsidRDefault="007A2652" w:rsidP="007B6073">
      <w:pPr>
        <w:spacing w:before="240"/>
        <w:contextualSpacing/>
        <w:rPr>
          <w:szCs w:val="22"/>
        </w:rPr>
      </w:pPr>
      <w:r>
        <w:t xml:space="preserve">The bill </w:t>
      </w:r>
      <w:r w:rsidR="00777F5F">
        <w:t xml:space="preserve">would also </w:t>
      </w:r>
      <w:r>
        <w:t xml:space="preserve">create an ombudsperson at DFTA that would receive complaints regarding programs through a hotline and website, conduct investigations, and refer results of such investigations to </w:t>
      </w:r>
      <w:proofErr w:type="gramStart"/>
      <w:r w:rsidR="007A4C6C">
        <w:t>managed</w:t>
      </w:r>
      <w:proofErr w:type="gramEnd"/>
      <w:r w:rsidR="007A4C6C">
        <w:t xml:space="preserve"> long-term care companies</w:t>
      </w:r>
      <w:r>
        <w:t>, the New York City Department of Investigation, and the State as necessary</w:t>
      </w:r>
      <w:r>
        <w:rPr>
          <w:szCs w:val="22"/>
        </w:rPr>
        <w:t>.</w:t>
      </w:r>
      <w:r w:rsidR="00777F5F">
        <w:rPr>
          <w:szCs w:val="22"/>
        </w:rPr>
        <w:t xml:space="preserve"> All social day cares would be required to post notices containing the ombudsperson’s contact information and DFTA would be required to post this information in its website. The ombudsperson </w:t>
      </w:r>
      <w:r w:rsidR="00D7480E">
        <w:rPr>
          <w:szCs w:val="22"/>
        </w:rPr>
        <w:t xml:space="preserve">would be required </w:t>
      </w:r>
      <w:r w:rsidR="00777F5F">
        <w:rPr>
          <w:szCs w:val="22"/>
        </w:rPr>
        <w:t>to provide an annual report to the Council regarding social adult daycares.</w:t>
      </w:r>
    </w:p>
    <w:p w:rsidR="004F029E" w:rsidRDefault="004F029E" w:rsidP="00DB442D">
      <w:pPr>
        <w:spacing w:before="240"/>
        <w:contextualSpacing/>
        <w:rPr>
          <w:b/>
          <w:smallCaps/>
          <w:sz w:val="22"/>
          <w:szCs w:val="22"/>
        </w:rPr>
      </w:pPr>
    </w:p>
    <w:p w:rsidR="00A22915" w:rsidRDefault="00A22915" w:rsidP="00DB442D">
      <w:pPr>
        <w:spacing w:before="240"/>
        <w:contextualSpacing/>
        <w:rPr>
          <w:b/>
          <w:smallCaps/>
          <w:sz w:val="22"/>
          <w:szCs w:val="22"/>
        </w:rPr>
      </w:pPr>
    </w:p>
    <w:p w:rsidR="00114EB0" w:rsidRDefault="00DB442D" w:rsidP="00DB442D">
      <w:pPr>
        <w:spacing w:before="240"/>
        <w:contextualSpacing/>
      </w:pPr>
      <w:r>
        <w:rPr>
          <w:b/>
          <w:smallCaps/>
          <w:sz w:val="22"/>
          <w:szCs w:val="22"/>
        </w:rPr>
        <w:t xml:space="preserve">Effective Date: </w:t>
      </w:r>
      <w:r w:rsidR="0064551D" w:rsidRPr="00B055CE">
        <w:t xml:space="preserve">This local law </w:t>
      </w:r>
      <w:r w:rsidR="007A4C6C">
        <w:t>would</w:t>
      </w:r>
      <w:r w:rsidR="007A4C6C" w:rsidRPr="00B055CE">
        <w:t xml:space="preserve"> </w:t>
      </w:r>
      <w:r w:rsidR="0064551D" w:rsidRPr="00B055CE">
        <w:t>take effect</w:t>
      </w:r>
      <w:r w:rsidR="007A2652" w:rsidRPr="007A2652">
        <w:t xml:space="preserve"> </w:t>
      </w:r>
      <w:r w:rsidR="007A4C6C">
        <w:t>180 days</w:t>
      </w:r>
      <w:r w:rsidR="007A2652">
        <w:t xml:space="preserve"> after its enactment, </w:t>
      </w:r>
      <w:r w:rsidR="007A4C6C">
        <w:t>except that the requirement that DFTA establish rules regarding civil penalties would take effect 12 months after enactment, unless any State law, rule, or regulation establishes civil penalties within that one year period that provision will be deemed repealed, except that the provision that requires the Mayor an agency to issues notices of violation would take effect immediately, and except that DFTA may take necessary action, including the promulgation of rules, prior to the effective date.</w:t>
      </w:r>
    </w:p>
    <w:p w:rsidR="00DB442D" w:rsidRDefault="001A33FF" w:rsidP="00DB442D">
      <w:pPr>
        <w:spacing w:before="240"/>
        <w:contextualSpacing/>
      </w:pPr>
      <w:r>
        <w:cr/>
      </w:r>
      <w:r w:rsidR="00DB442D">
        <w:rPr>
          <w:b/>
          <w:smallCaps/>
          <w:sz w:val="22"/>
          <w:szCs w:val="22"/>
        </w:rPr>
        <w:t xml:space="preserve">Fiscal Year </w:t>
      </w:r>
      <w:r w:rsidR="00D252CA">
        <w:rPr>
          <w:b/>
          <w:smallCaps/>
          <w:sz w:val="22"/>
          <w:szCs w:val="22"/>
        </w:rPr>
        <w:t>i</w:t>
      </w:r>
      <w:r w:rsidR="00DB442D">
        <w:rPr>
          <w:b/>
          <w:smallCaps/>
          <w:sz w:val="22"/>
          <w:szCs w:val="22"/>
        </w:rPr>
        <w:t xml:space="preserve">n Which Full Fiscal Impact Anticipated: </w:t>
      </w:r>
      <w:r w:rsidR="001911B8">
        <w:t>F</w:t>
      </w:r>
      <w:r>
        <w:t>iscal 2016</w:t>
      </w:r>
    </w:p>
    <w:p w:rsidR="00A22915" w:rsidRDefault="00A22915" w:rsidP="00DB442D">
      <w:pPr>
        <w:spacing w:before="240"/>
        <w:contextualSpacing/>
      </w:pPr>
    </w:p>
    <w:p w:rsidR="00A22915" w:rsidRDefault="00A22915" w:rsidP="00DB442D">
      <w:pPr>
        <w:spacing w:before="240"/>
        <w:contextualSpacing/>
      </w:pPr>
    </w:p>
    <w:p w:rsidR="00A22915" w:rsidRPr="00A267C7" w:rsidRDefault="00A22915" w:rsidP="00DB442D">
      <w:pPr>
        <w:spacing w:before="240"/>
        <w:contextualSpacing/>
        <w:rPr>
          <w:b/>
          <w:sz w:val="22"/>
          <w:szCs w:val="22"/>
        </w:rPr>
      </w:pPr>
    </w:p>
    <w:p w:rsidR="00DB442D" w:rsidRDefault="00DB442D" w:rsidP="00DB442D">
      <w:pPr>
        <w:pBdr>
          <w:top w:val="single" w:sz="4" w:space="1" w:color="auto"/>
        </w:pBdr>
        <w:spacing w:before="240"/>
        <w:rPr>
          <w:b/>
          <w:smallCaps/>
          <w:sz w:val="22"/>
          <w:szCs w:val="22"/>
        </w:rPr>
      </w:pPr>
      <w:r>
        <w:rPr>
          <w:b/>
          <w:smallCaps/>
          <w:sz w:val="22"/>
          <w:szCs w:val="22"/>
        </w:rPr>
        <w:lastRenderedPageBreak/>
        <w:t>Fiscal Impact Statement:</w:t>
      </w:r>
    </w:p>
    <w:p w:rsidR="00DB442D" w:rsidRDefault="00DB442D" w:rsidP="00DB442D">
      <w:pPr>
        <w:pBdr>
          <w:top w:val="single" w:sz="4" w:space="1" w:color="auto"/>
        </w:pBdr>
        <w:spacing w:before="120"/>
        <w:rPr>
          <w:b/>
          <w:smallCaps/>
          <w:sz w:val="22"/>
          <w:szCs w:val="22"/>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DB442D" w:rsidRPr="00706E47">
        <w:trPr>
          <w:jc w:val="center"/>
        </w:trPr>
        <w:tc>
          <w:tcPr>
            <w:tcW w:w="1692" w:type="dxa"/>
            <w:tcBorders>
              <w:top w:val="double" w:sz="7" w:space="0" w:color="000000"/>
              <w:left w:val="double" w:sz="7" w:space="0" w:color="000000"/>
              <w:bottom w:val="single" w:sz="6" w:space="0" w:color="FFFFFF"/>
              <w:right w:val="single" w:sz="6" w:space="0" w:color="FFFFFF"/>
            </w:tcBorders>
          </w:tcPr>
          <w:p w:rsidR="00DB442D" w:rsidRPr="00706E47" w:rsidRDefault="00DB442D" w:rsidP="007A4C6C">
            <w:pPr>
              <w:spacing w:line="201" w:lineRule="exact"/>
              <w:jc w:val="center"/>
              <w:rPr>
                <w:sz w:val="18"/>
                <w:szCs w:val="18"/>
              </w:rPr>
            </w:pPr>
          </w:p>
          <w:p w:rsidR="00DB442D" w:rsidRPr="00706E47" w:rsidRDefault="00DB442D" w:rsidP="007A4C6C">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DB442D" w:rsidRPr="00706E47" w:rsidRDefault="00DB442D" w:rsidP="007A4C6C">
            <w:pPr>
              <w:spacing w:line="201" w:lineRule="exact"/>
              <w:jc w:val="center"/>
              <w:rPr>
                <w:b/>
                <w:bCs/>
                <w:sz w:val="18"/>
                <w:szCs w:val="18"/>
              </w:rPr>
            </w:pPr>
          </w:p>
          <w:p w:rsidR="00DB442D" w:rsidRPr="00706E47" w:rsidRDefault="00DB442D" w:rsidP="007A4C6C">
            <w:pPr>
              <w:jc w:val="center"/>
              <w:rPr>
                <w:b/>
                <w:bCs/>
                <w:sz w:val="18"/>
                <w:szCs w:val="18"/>
              </w:rPr>
            </w:pPr>
          </w:p>
          <w:p w:rsidR="00DB442D" w:rsidRPr="00706E47" w:rsidRDefault="00DB442D" w:rsidP="007A4C6C">
            <w:pPr>
              <w:jc w:val="center"/>
              <w:rPr>
                <w:b/>
                <w:bCs/>
                <w:sz w:val="18"/>
                <w:szCs w:val="18"/>
              </w:rPr>
            </w:pPr>
            <w:r>
              <w:rPr>
                <w:b/>
                <w:bCs/>
                <w:sz w:val="18"/>
                <w:szCs w:val="18"/>
              </w:rPr>
              <w:t>Effective FY15</w:t>
            </w:r>
          </w:p>
          <w:p w:rsidR="00DB442D" w:rsidRPr="00706E47" w:rsidRDefault="00DB442D" w:rsidP="007A4C6C">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DB442D" w:rsidRPr="00706E47" w:rsidRDefault="00DB442D" w:rsidP="007A4C6C">
            <w:pPr>
              <w:spacing w:line="201" w:lineRule="exact"/>
              <w:jc w:val="center"/>
              <w:rPr>
                <w:b/>
                <w:bCs/>
                <w:sz w:val="18"/>
                <w:szCs w:val="18"/>
              </w:rPr>
            </w:pPr>
          </w:p>
          <w:p w:rsidR="00DB442D" w:rsidRPr="00706E47" w:rsidRDefault="00DB442D" w:rsidP="007A4C6C">
            <w:pPr>
              <w:jc w:val="center"/>
              <w:rPr>
                <w:b/>
                <w:bCs/>
                <w:sz w:val="18"/>
                <w:szCs w:val="18"/>
              </w:rPr>
            </w:pPr>
            <w:r w:rsidRPr="00706E47">
              <w:rPr>
                <w:b/>
                <w:bCs/>
                <w:sz w:val="18"/>
                <w:szCs w:val="18"/>
              </w:rPr>
              <w:t>FY Succeeding</w:t>
            </w:r>
          </w:p>
          <w:p w:rsidR="00DB442D" w:rsidRPr="00706E47" w:rsidRDefault="00DB442D" w:rsidP="007A4C6C">
            <w:pPr>
              <w:jc w:val="center"/>
              <w:rPr>
                <w:b/>
                <w:bCs/>
                <w:sz w:val="18"/>
                <w:szCs w:val="18"/>
              </w:rPr>
            </w:pPr>
            <w:r w:rsidRPr="00706E47">
              <w:rPr>
                <w:b/>
                <w:bCs/>
                <w:sz w:val="18"/>
                <w:szCs w:val="18"/>
              </w:rPr>
              <w:t>Effective FY1</w:t>
            </w:r>
            <w:r>
              <w:rPr>
                <w:b/>
                <w:bCs/>
                <w:sz w:val="18"/>
                <w:szCs w:val="18"/>
              </w:rPr>
              <w:t>6</w:t>
            </w:r>
          </w:p>
        </w:tc>
        <w:tc>
          <w:tcPr>
            <w:tcW w:w="1754" w:type="dxa"/>
            <w:tcBorders>
              <w:top w:val="double" w:sz="7" w:space="0" w:color="000000"/>
              <w:left w:val="single" w:sz="7" w:space="0" w:color="000000"/>
              <w:bottom w:val="single" w:sz="6" w:space="0" w:color="FFFFFF"/>
              <w:right w:val="double" w:sz="7" w:space="0" w:color="000000"/>
            </w:tcBorders>
          </w:tcPr>
          <w:p w:rsidR="00DB442D" w:rsidRPr="00706E47" w:rsidRDefault="00DB442D" w:rsidP="007A4C6C">
            <w:pPr>
              <w:spacing w:line="201" w:lineRule="exact"/>
              <w:jc w:val="center"/>
              <w:rPr>
                <w:b/>
                <w:bCs/>
                <w:sz w:val="18"/>
                <w:szCs w:val="18"/>
              </w:rPr>
            </w:pPr>
          </w:p>
          <w:p w:rsidR="00DB442D" w:rsidRPr="00706E47" w:rsidRDefault="00DB442D" w:rsidP="007A4C6C">
            <w:pPr>
              <w:jc w:val="center"/>
              <w:rPr>
                <w:b/>
                <w:bCs/>
                <w:sz w:val="18"/>
                <w:szCs w:val="18"/>
              </w:rPr>
            </w:pPr>
            <w:r w:rsidRPr="00706E47">
              <w:rPr>
                <w:b/>
                <w:bCs/>
                <w:sz w:val="18"/>
                <w:szCs w:val="18"/>
              </w:rPr>
              <w:t>Full Fiscal</w:t>
            </w:r>
          </w:p>
          <w:p w:rsidR="00DB442D" w:rsidRPr="00706E47" w:rsidRDefault="00DB442D" w:rsidP="007A4C6C">
            <w:pPr>
              <w:jc w:val="center"/>
              <w:rPr>
                <w:b/>
                <w:bCs/>
                <w:sz w:val="18"/>
                <w:szCs w:val="18"/>
              </w:rPr>
            </w:pPr>
            <w:r>
              <w:rPr>
                <w:b/>
                <w:bCs/>
                <w:sz w:val="18"/>
                <w:szCs w:val="18"/>
              </w:rPr>
              <w:t>Impact FY1</w:t>
            </w:r>
            <w:r w:rsidR="007A4C6C">
              <w:rPr>
                <w:b/>
                <w:bCs/>
                <w:sz w:val="18"/>
                <w:szCs w:val="18"/>
              </w:rPr>
              <w:t>6</w:t>
            </w:r>
          </w:p>
          <w:p w:rsidR="00DB442D" w:rsidRPr="00706E47" w:rsidRDefault="00DB442D" w:rsidP="007A4C6C">
            <w:pPr>
              <w:jc w:val="center"/>
              <w:rPr>
                <w:b/>
                <w:bCs/>
                <w:sz w:val="18"/>
                <w:szCs w:val="18"/>
              </w:rPr>
            </w:pPr>
          </w:p>
        </w:tc>
      </w:tr>
      <w:tr w:rsidR="00DB442D" w:rsidRPr="00706E47">
        <w:trPr>
          <w:jc w:val="center"/>
        </w:trPr>
        <w:tc>
          <w:tcPr>
            <w:tcW w:w="1692" w:type="dxa"/>
            <w:tcBorders>
              <w:top w:val="single" w:sz="7" w:space="0" w:color="000000"/>
              <w:left w:val="double" w:sz="7" w:space="0" w:color="000000"/>
              <w:bottom w:val="single" w:sz="6" w:space="0" w:color="FFFFFF"/>
              <w:right w:val="single" w:sz="6" w:space="0" w:color="FFFFFF"/>
            </w:tcBorders>
          </w:tcPr>
          <w:p w:rsidR="00DB442D" w:rsidRPr="00706E47" w:rsidRDefault="00DB442D" w:rsidP="007A4C6C">
            <w:pPr>
              <w:spacing w:line="163" w:lineRule="exact"/>
              <w:jc w:val="center"/>
              <w:rPr>
                <w:b/>
                <w:bCs/>
                <w:sz w:val="18"/>
                <w:szCs w:val="18"/>
              </w:rPr>
            </w:pPr>
          </w:p>
          <w:p w:rsidR="00DB442D" w:rsidRPr="00706E47" w:rsidRDefault="00DB442D" w:rsidP="007A4C6C">
            <w:pPr>
              <w:jc w:val="center"/>
              <w:rPr>
                <w:b/>
                <w:bCs/>
                <w:sz w:val="18"/>
                <w:szCs w:val="18"/>
              </w:rPr>
            </w:pPr>
            <w:r w:rsidRPr="00706E47">
              <w:rPr>
                <w:b/>
                <w:bCs/>
                <w:sz w:val="18"/>
                <w:szCs w:val="18"/>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rsidR="00DB442D" w:rsidRPr="00841828" w:rsidRDefault="00DB442D" w:rsidP="007A4C6C">
            <w:pPr>
              <w:spacing w:line="163" w:lineRule="exact"/>
              <w:jc w:val="center"/>
              <w:rPr>
                <w:bCs/>
                <w:sz w:val="18"/>
                <w:szCs w:val="18"/>
              </w:rPr>
            </w:pPr>
          </w:p>
          <w:p w:rsidR="00DB442D" w:rsidRPr="00841828" w:rsidRDefault="001911B8" w:rsidP="00261941">
            <w:pPr>
              <w:jc w:val="center"/>
              <w:rPr>
                <w:bCs/>
                <w:sz w:val="18"/>
                <w:szCs w:val="18"/>
              </w:rPr>
            </w:pPr>
            <w:r w:rsidRPr="00841828">
              <w:rPr>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DB442D" w:rsidRPr="00841828" w:rsidRDefault="00DB442D" w:rsidP="007A4C6C">
            <w:pPr>
              <w:spacing w:line="163" w:lineRule="exact"/>
              <w:jc w:val="center"/>
              <w:rPr>
                <w:bCs/>
                <w:sz w:val="18"/>
                <w:szCs w:val="18"/>
              </w:rPr>
            </w:pPr>
          </w:p>
          <w:p w:rsidR="00DB442D" w:rsidRPr="00841828" w:rsidRDefault="001911B8" w:rsidP="007A4C6C">
            <w:pPr>
              <w:jc w:val="center"/>
              <w:rPr>
                <w:bCs/>
                <w:sz w:val="18"/>
                <w:szCs w:val="18"/>
              </w:rPr>
            </w:pPr>
            <w:r w:rsidRPr="00841828">
              <w:rPr>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DB442D" w:rsidRPr="00841828" w:rsidRDefault="00DB442D" w:rsidP="007A4C6C">
            <w:pPr>
              <w:spacing w:line="163" w:lineRule="exact"/>
              <w:jc w:val="left"/>
              <w:rPr>
                <w:bCs/>
                <w:sz w:val="18"/>
                <w:szCs w:val="18"/>
              </w:rPr>
            </w:pPr>
          </w:p>
          <w:p w:rsidR="00DB442D" w:rsidRPr="00841828" w:rsidRDefault="001911B8" w:rsidP="007A4C6C">
            <w:pPr>
              <w:jc w:val="center"/>
              <w:rPr>
                <w:bCs/>
                <w:sz w:val="18"/>
                <w:szCs w:val="18"/>
              </w:rPr>
            </w:pPr>
            <w:r w:rsidRPr="00841828">
              <w:rPr>
                <w:bCs/>
                <w:sz w:val="18"/>
                <w:szCs w:val="18"/>
              </w:rPr>
              <w:t>$0</w:t>
            </w:r>
          </w:p>
        </w:tc>
      </w:tr>
      <w:tr w:rsidR="00DB442D" w:rsidRPr="00706E47">
        <w:trPr>
          <w:jc w:val="center"/>
        </w:trPr>
        <w:tc>
          <w:tcPr>
            <w:tcW w:w="1692" w:type="dxa"/>
            <w:tcBorders>
              <w:top w:val="single" w:sz="7" w:space="0" w:color="000000"/>
              <w:left w:val="double" w:sz="7" w:space="0" w:color="000000"/>
              <w:bottom w:val="single" w:sz="6" w:space="0" w:color="FFFFFF"/>
              <w:right w:val="single" w:sz="6" w:space="0" w:color="FFFFFF"/>
            </w:tcBorders>
          </w:tcPr>
          <w:p w:rsidR="00DB442D" w:rsidRPr="00706E47" w:rsidRDefault="00DB442D" w:rsidP="007A4C6C">
            <w:pPr>
              <w:spacing w:line="163" w:lineRule="exact"/>
              <w:jc w:val="center"/>
              <w:rPr>
                <w:b/>
                <w:bCs/>
                <w:sz w:val="18"/>
                <w:szCs w:val="18"/>
              </w:rPr>
            </w:pPr>
          </w:p>
          <w:p w:rsidR="00DB442D" w:rsidRPr="00706E47" w:rsidRDefault="00DB442D" w:rsidP="007A4C6C">
            <w:pPr>
              <w:jc w:val="center"/>
              <w:rPr>
                <w:b/>
                <w:bCs/>
                <w:sz w:val="18"/>
                <w:szCs w:val="18"/>
              </w:rPr>
            </w:pPr>
            <w:r w:rsidRPr="00706E47">
              <w:rPr>
                <w:b/>
                <w:bCs/>
                <w:sz w:val="18"/>
                <w:szCs w:val="18"/>
              </w:rPr>
              <w:t xml:space="preserve">Expenditures </w:t>
            </w:r>
          </w:p>
        </w:tc>
        <w:tc>
          <w:tcPr>
            <w:tcW w:w="1754" w:type="dxa"/>
            <w:tcBorders>
              <w:top w:val="single" w:sz="7" w:space="0" w:color="000000"/>
              <w:left w:val="single" w:sz="7" w:space="0" w:color="000000"/>
              <w:bottom w:val="single" w:sz="6" w:space="0" w:color="FFFFFF"/>
              <w:right w:val="single" w:sz="6" w:space="0" w:color="FFFFFF"/>
            </w:tcBorders>
            <w:vAlign w:val="bottom"/>
          </w:tcPr>
          <w:p w:rsidR="00DB442D" w:rsidRPr="00841828" w:rsidRDefault="0052072C" w:rsidP="0052072C">
            <w:pPr>
              <w:jc w:val="center"/>
              <w:rPr>
                <w:bCs/>
                <w:sz w:val="18"/>
                <w:szCs w:val="18"/>
              </w:rPr>
            </w:pPr>
            <w:r>
              <w:rPr>
                <w:bCs/>
                <w:sz w:val="18"/>
                <w:szCs w:val="18"/>
              </w:rPr>
              <w:t>$0</w:t>
            </w:r>
          </w:p>
        </w:tc>
        <w:tc>
          <w:tcPr>
            <w:tcW w:w="1754" w:type="dxa"/>
            <w:tcBorders>
              <w:top w:val="single" w:sz="7" w:space="0" w:color="000000"/>
              <w:left w:val="single" w:sz="7" w:space="0" w:color="000000"/>
              <w:bottom w:val="single" w:sz="6" w:space="0" w:color="FFFFFF"/>
              <w:right w:val="single" w:sz="6" w:space="0" w:color="FFFFFF"/>
            </w:tcBorders>
            <w:vAlign w:val="bottom"/>
          </w:tcPr>
          <w:p w:rsidR="00DB442D" w:rsidRPr="00841828" w:rsidRDefault="00114EB0" w:rsidP="00A26BE2">
            <w:pPr>
              <w:jc w:val="center"/>
              <w:rPr>
                <w:bCs/>
                <w:sz w:val="18"/>
                <w:szCs w:val="18"/>
              </w:rPr>
            </w:pPr>
            <w:r w:rsidRPr="00841828">
              <w:rPr>
                <w:bCs/>
                <w:sz w:val="18"/>
                <w:szCs w:val="18"/>
              </w:rPr>
              <w:t>$</w:t>
            </w:r>
            <w:r w:rsidR="0052072C">
              <w:rPr>
                <w:bCs/>
                <w:sz w:val="18"/>
                <w:szCs w:val="18"/>
              </w:rPr>
              <w:t>25</w:t>
            </w:r>
            <w:r w:rsidR="00A22915">
              <w:rPr>
                <w:bCs/>
                <w:sz w:val="18"/>
                <w:szCs w:val="18"/>
              </w:rPr>
              <w:t>0,000</w:t>
            </w:r>
          </w:p>
        </w:tc>
        <w:tc>
          <w:tcPr>
            <w:tcW w:w="1754" w:type="dxa"/>
            <w:tcBorders>
              <w:top w:val="single" w:sz="7" w:space="0" w:color="000000"/>
              <w:left w:val="single" w:sz="7" w:space="0" w:color="000000"/>
              <w:bottom w:val="single" w:sz="6" w:space="0" w:color="FFFFFF"/>
              <w:right w:val="double" w:sz="7" w:space="0" w:color="000000"/>
            </w:tcBorders>
            <w:vAlign w:val="bottom"/>
          </w:tcPr>
          <w:p w:rsidR="00DB442D" w:rsidRPr="00841828" w:rsidRDefault="00114EB0" w:rsidP="00A26BE2">
            <w:pPr>
              <w:jc w:val="center"/>
              <w:rPr>
                <w:bCs/>
                <w:sz w:val="18"/>
                <w:szCs w:val="18"/>
              </w:rPr>
            </w:pPr>
            <w:r w:rsidRPr="00841828">
              <w:rPr>
                <w:bCs/>
                <w:sz w:val="18"/>
                <w:szCs w:val="18"/>
              </w:rPr>
              <w:t>$</w:t>
            </w:r>
            <w:r w:rsidR="0074155A">
              <w:rPr>
                <w:bCs/>
                <w:sz w:val="18"/>
                <w:szCs w:val="18"/>
              </w:rPr>
              <w:t>25</w:t>
            </w:r>
            <w:bookmarkStart w:id="0" w:name="_GoBack"/>
            <w:bookmarkEnd w:id="0"/>
            <w:r w:rsidR="00A22915">
              <w:rPr>
                <w:bCs/>
                <w:sz w:val="18"/>
                <w:szCs w:val="18"/>
              </w:rPr>
              <w:t>0,000</w:t>
            </w:r>
          </w:p>
        </w:tc>
      </w:tr>
      <w:tr w:rsidR="00DB442D" w:rsidRPr="00706E47">
        <w:trPr>
          <w:jc w:val="center"/>
        </w:trPr>
        <w:tc>
          <w:tcPr>
            <w:tcW w:w="1692" w:type="dxa"/>
            <w:tcBorders>
              <w:top w:val="single" w:sz="7" w:space="0" w:color="000000"/>
              <w:left w:val="double" w:sz="7" w:space="0" w:color="000000"/>
              <w:bottom w:val="single" w:sz="7" w:space="0" w:color="000000"/>
              <w:right w:val="single" w:sz="6" w:space="0" w:color="FFFFFF"/>
            </w:tcBorders>
          </w:tcPr>
          <w:p w:rsidR="00DB442D" w:rsidRPr="00706E47" w:rsidRDefault="00DB442D" w:rsidP="007A4C6C">
            <w:pPr>
              <w:spacing w:line="163" w:lineRule="exact"/>
              <w:jc w:val="center"/>
              <w:rPr>
                <w:b/>
                <w:bCs/>
                <w:sz w:val="18"/>
                <w:szCs w:val="18"/>
              </w:rPr>
            </w:pPr>
          </w:p>
          <w:p w:rsidR="00DB442D" w:rsidRPr="00706E47" w:rsidRDefault="00DB442D" w:rsidP="007A4C6C">
            <w:pPr>
              <w:spacing w:after="58"/>
              <w:jc w:val="center"/>
              <w:rPr>
                <w:b/>
                <w:bCs/>
                <w:sz w:val="18"/>
                <w:szCs w:val="18"/>
              </w:rPr>
            </w:pPr>
            <w:r w:rsidRPr="00706E47">
              <w:rPr>
                <w:b/>
                <w:bCs/>
                <w:sz w:val="18"/>
                <w:szCs w:val="18"/>
              </w:rPr>
              <w:t>Net</w:t>
            </w:r>
          </w:p>
        </w:tc>
        <w:tc>
          <w:tcPr>
            <w:tcW w:w="1754" w:type="dxa"/>
            <w:tcBorders>
              <w:top w:val="single" w:sz="7" w:space="0" w:color="000000"/>
              <w:left w:val="single" w:sz="7" w:space="0" w:color="000000"/>
              <w:bottom w:val="single" w:sz="7" w:space="0" w:color="000000"/>
              <w:right w:val="single" w:sz="6" w:space="0" w:color="FFFFFF"/>
            </w:tcBorders>
          </w:tcPr>
          <w:p w:rsidR="00DB442D" w:rsidRPr="00841828" w:rsidRDefault="00DB442D" w:rsidP="007A4C6C">
            <w:pPr>
              <w:spacing w:line="163" w:lineRule="exact"/>
              <w:jc w:val="center"/>
              <w:rPr>
                <w:bCs/>
                <w:sz w:val="18"/>
                <w:szCs w:val="18"/>
              </w:rPr>
            </w:pPr>
          </w:p>
          <w:p w:rsidR="00DB442D" w:rsidRPr="00841828" w:rsidRDefault="004C4586" w:rsidP="0052072C">
            <w:pPr>
              <w:jc w:val="center"/>
              <w:rPr>
                <w:bCs/>
                <w:sz w:val="18"/>
                <w:szCs w:val="18"/>
              </w:rPr>
            </w:pPr>
            <w:r>
              <w:rPr>
                <w:bCs/>
                <w:sz w:val="18"/>
                <w:szCs w:val="18"/>
              </w:rPr>
              <w:t>$</w:t>
            </w:r>
            <w:r w:rsidR="0052072C">
              <w:rPr>
                <w:bCs/>
                <w:sz w:val="18"/>
                <w:szCs w:val="18"/>
              </w:rPr>
              <w:t>0</w:t>
            </w:r>
          </w:p>
        </w:tc>
        <w:tc>
          <w:tcPr>
            <w:tcW w:w="1754" w:type="dxa"/>
            <w:tcBorders>
              <w:top w:val="single" w:sz="7" w:space="0" w:color="000000"/>
              <w:left w:val="single" w:sz="7" w:space="0" w:color="000000"/>
              <w:bottom w:val="single" w:sz="7" w:space="0" w:color="000000"/>
              <w:right w:val="single" w:sz="6" w:space="0" w:color="FFFFFF"/>
            </w:tcBorders>
          </w:tcPr>
          <w:p w:rsidR="00DB442D" w:rsidRPr="00841828" w:rsidRDefault="00DB442D" w:rsidP="007A4C6C">
            <w:pPr>
              <w:spacing w:line="163" w:lineRule="exact"/>
              <w:jc w:val="center"/>
              <w:rPr>
                <w:bCs/>
                <w:sz w:val="18"/>
                <w:szCs w:val="18"/>
              </w:rPr>
            </w:pPr>
          </w:p>
          <w:p w:rsidR="00DB442D" w:rsidRPr="00841828" w:rsidRDefault="00A5128B" w:rsidP="0052072C">
            <w:pPr>
              <w:jc w:val="center"/>
              <w:rPr>
                <w:bCs/>
                <w:sz w:val="18"/>
                <w:szCs w:val="18"/>
              </w:rPr>
            </w:pPr>
            <w:r>
              <w:rPr>
                <w:bCs/>
                <w:sz w:val="18"/>
                <w:szCs w:val="18"/>
              </w:rPr>
              <w:t>(</w:t>
            </w:r>
            <w:r w:rsidR="004C4586">
              <w:rPr>
                <w:bCs/>
                <w:sz w:val="18"/>
                <w:szCs w:val="18"/>
              </w:rPr>
              <w:t>$2</w:t>
            </w:r>
            <w:r w:rsidR="0052072C">
              <w:rPr>
                <w:bCs/>
                <w:sz w:val="18"/>
                <w:szCs w:val="18"/>
              </w:rPr>
              <w:t>5</w:t>
            </w:r>
            <w:r w:rsidR="004C4586">
              <w:rPr>
                <w:bCs/>
                <w:sz w:val="18"/>
                <w:szCs w:val="18"/>
              </w:rPr>
              <w:t>0,000</w:t>
            </w:r>
            <w:r>
              <w:rPr>
                <w:bCs/>
                <w:sz w:val="18"/>
                <w:szCs w:val="18"/>
              </w:rPr>
              <w:t>)</w:t>
            </w:r>
          </w:p>
        </w:tc>
        <w:tc>
          <w:tcPr>
            <w:tcW w:w="1754" w:type="dxa"/>
            <w:tcBorders>
              <w:top w:val="single" w:sz="7" w:space="0" w:color="000000"/>
              <w:left w:val="single" w:sz="7" w:space="0" w:color="000000"/>
              <w:bottom w:val="single" w:sz="7" w:space="0" w:color="000000"/>
              <w:right w:val="double" w:sz="7" w:space="0" w:color="000000"/>
            </w:tcBorders>
          </w:tcPr>
          <w:p w:rsidR="00DB442D" w:rsidRPr="00841828" w:rsidRDefault="00DB442D" w:rsidP="007A4C6C">
            <w:pPr>
              <w:spacing w:line="163" w:lineRule="exact"/>
              <w:jc w:val="center"/>
              <w:rPr>
                <w:bCs/>
                <w:sz w:val="18"/>
                <w:szCs w:val="18"/>
              </w:rPr>
            </w:pPr>
          </w:p>
          <w:p w:rsidR="00DB442D" w:rsidRPr="00841828" w:rsidRDefault="00A5128B" w:rsidP="007A4C6C">
            <w:pPr>
              <w:jc w:val="center"/>
              <w:rPr>
                <w:bCs/>
                <w:sz w:val="18"/>
                <w:szCs w:val="18"/>
              </w:rPr>
            </w:pPr>
            <w:r>
              <w:rPr>
                <w:bCs/>
                <w:sz w:val="18"/>
                <w:szCs w:val="18"/>
              </w:rPr>
              <w:t>($25</w:t>
            </w:r>
            <w:r w:rsidR="004C4586">
              <w:rPr>
                <w:bCs/>
                <w:sz w:val="18"/>
                <w:szCs w:val="18"/>
              </w:rPr>
              <w:t>0,000</w:t>
            </w:r>
            <w:r>
              <w:rPr>
                <w:bCs/>
                <w:sz w:val="18"/>
                <w:szCs w:val="18"/>
              </w:rPr>
              <w:t>)</w:t>
            </w:r>
          </w:p>
        </w:tc>
      </w:tr>
    </w:tbl>
    <w:p w:rsidR="00DB442D" w:rsidRPr="000A5804" w:rsidRDefault="00DB442D" w:rsidP="00DB442D">
      <w:pPr>
        <w:spacing w:before="120"/>
      </w:pPr>
    </w:p>
    <w:p w:rsidR="00DB442D" w:rsidRDefault="00DB442D" w:rsidP="001911B8">
      <w:pPr>
        <w:pBdr>
          <w:top w:val="single" w:sz="4" w:space="1" w:color="auto"/>
        </w:pBdr>
      </w:pPr>
      <w:r w:rsidRPr="00236CB4">
        <w:rPr>
          <w:b/>
          <w:smallCaps/>
          <w:sz w:val="22"/>
          <w:szCs w:val="22"/>
        </w:rPr>
        <w:t>Impact on Revenues:</w:t>
      </w:r>
      <w:r w:rsidR="00F31219">
        <w:rPr>
          <w:b/>
          <w:smallCaps/>
          <w:sz w:val="22"/>
          <w:szCs w:val="22"/>
        </w:rPr>
        <w:t xml:space="preserve"> </w:t>
      </w:r>
      <w:r w:rsidR="00F31219" w:rsidRPr="00F31219">
        <w:t>While penalties are imposed under this legislation, the penalties are designed to ensure compliance, not generate revenue</w:t>
      </w:r>
      <w:r w:rsidR="001D6E7A">
        <w:t>.</w:t>
      </w:r>
      <w:r w:rsidR="00F31219" w:rsidRPr="00F31219">
        <w:t xml:space="preserve"> </w:t>
      </w:r>
      <w:r w:rsidR="001D6E7A">
        <w:t>T</w:t>
      </w:r>
      <w:r w:rsidR="00F31219" w:rsidRPr="00F31219">
        <w:t>herefore</w:t>
      </w:r>
      <w:r w:rsidR="001D6E7A">
        <w:t>, it is anticipated that there would be no impact on revenues as a result of this legislation</w:t>
      </w:r>
      <w:r w:rsidR="00A5128B">
        <w:t>.</w:t>
      </w:r>
    </w:p>
    <w:p w:rsidR="00814B2B" w:rsidRDefault="00DB442D" w:rsidP="00DB442D">
      <w:pPr>
        <w:spacing w:before="240"/>
      </w:pPr>
      <w:r>
        <w:rPr>
          <w:b/>
          <w:smallCaps/>
          <w:sz w:val="22"/>
          <w:szCs w:val="22"/>
        </w:rPr>
        <w:t xml:space="preserve">Impact on Expenditures: </w:t>
      </w:r>
      <w:r w:rsidR="001D6E7A">
        <w:t>This fiscal impact statement assumes the designation of DCA as the agency designated by the Mayor to issues notices of violations. It is estimated that t</w:t>
      </w:r>
      <w:r w:rsidR="005B1E3C">
        <w:t>h</w:t>
      </w:r>
      <w:r w:rsidR="005B1E3C" w:rsidRPr="005B1E3C">
        <w:t>is legislation would require D</w:t>
      </w:r>
      <w:r w:rsidR="005B1E3C">
        <w:t>FTA and DCA</w:t>
      </w:r>
      <w:r w:rsidR="005B1E3C" w:rsidRPr="005B1E3C">
        <w:t xml:space="preserve"> </w:t>
      </w:r>
      <w:r w:rsidR="003B6414">
        <w:t xml:space="preserve">to </w:t>
      </w:r>
      <w:r w:rsidR="0052072C">
        <w:t>hir</w:t>
      </w:r>
      <w:r w:rsidR="003B6414">
        <w:t>e additional staff</w:t>
      </w:r>
      <w:r w:rsidR="005B1E3C" w:rsidRPr="005B1E3C">
        <w:t xml:space="preserve"> to fully implement the provisions of this bill. </w:t>
      </w:r>
      <w:r w:rsidR="003B6414">
        <w:t>DCA would need</w:t>
      </w:r>
      <w:r w:rsidR="005B1E3C">
        <w:t xml:space="preserve"> two licensing staff </w:t>
      </w:r>
      <w:r w:rsidR="003B6414">
        <w:t>t</w:t>
      </w:r>
      <w:r w:rsidR="003D2688">
        <w:t>o handle notices of violations</w:t>
      </w:r>
      <w:r w:rsidR="00A22915">
        <w:t xml:space="preserve"> and</w:t>
      </w:r>
      <w:r w:rsidR="003D2688">
        <w:t xml:space="preserve"> </w:t>
      </w:r>
      <w:r w:rsidR="003B6414">
        <w:t xml:space="preserve">DFTA would add </w:t>
      </w:r>
      <w:r w:rsidR="003D2688">
        <w:t xml:space="preserve">one staff to serve as </w:t>
      </w:r>
      <w:r w:rsidR="00481835">
        <w:t>ombudsperson. Compensation</w:t>
      </w:r>
      <w:r w:rsidR="003B6414">
        <w:t xml:space="preserve"> for licensing staff, including fringe benefits</w:t>
      </w:r>
      <w:r w:rsidR="00A5128B">
        <w:t xml:space="preserve"> would total $75,000</w:t>
      </w:r>
      <w:r w:rsidR="003B6414">
        <w:t xml:space="preserve"> per year per staff.  The projected salary including fringe benefits of the DFTA </w:t>
      </w:r>
      <w:r w:rsidR="00A5128B">
        <w:t>ombudsperson</w:t>
      </w:r>
      <w:r w:rsidR="003B6414">
        <w:t xml:space="preserve"> would a</w:t>
      </w:r>
      <w:r w:rsidR="00A5128B">
        <w:t>pproximate $100,000</w:t>
      </w:r>
      <w:r w:rsidR="003B6414">
        <w:t xml:space="preserve">.  </w:t>
      </w:r>
      <w:r w:rsidR="001D6E7A">
        <w:t>If the Mayor chooses to designate a different agency to issues notices of violation that does not already have an infrastructure to do so, as DCA does, it is anticipated that the impact on expenditures would be greater. It is noted that, although a portion of the legislation would take effect immediately in Fiscal 2015, the provisions of the legislation that have a non-zero fiscal impact would not take effect until Fiscal 2016.</w:t>
      </w:r>
    </w:p>
    <w:p w:rsidR="00F37B58" w:rsidRDefault="00DB442D" w:rsidP="00DB442D">
      <w:pPr>
        <w:spacing w:before="240"/>
        <w:rPr>
          <w:b/>
          <w:smallCaps/>
          <w:sz w:val="22"/>
          <w:szCs w:val="22"/>
        </w:rPr>
      </w:pPr>
      <w:r>
        <w:rPr>
          <w:b/>
          <w:smallCaps/>
          <w:sz w:val="22"/>
          <w:szCs w:val="22"/>
        </w:rPr>
        <w:t xml:space="preserve">Source of Funds To Cover Estimated Costs: </w:t>
      </w:r>
      <w:r w:rsidR="006278B0">
        <w:t>General Fund</w:t>
      </w:r>
    </w:p>
    <w:p w:rsidR="003F64D1" w:rsidRPr="00F37B58" w:rsidRDefault="003F64D1" w:rsidP="003F64D1">
      <w:pPr>
        <w:pStyle w:val="NoSpacing"/>
      </w:pPr>
    </w:p>
    <w:p w:rsidR="00F45AE4" w:rsidRDefault="00DB442D" w:rsidP="00FD7A5F">
      <w:pPr>
        <w:pStyle w:val="NoSpacing"/>
      </w:pPr>
      <w:r>
        <w:rPr>
          <w:b/>
          <w:smallCaps/>
          <w:sz w:val="22"/>
          <w:szCs w:val="22"/>
        </w:rPr>
        <w:t xml:space="preserve">Source of Information:  </w:t>
      </w:r>
      <w:r w:rsidR="00F45AE4">
        <w:rPr>
          <w:b/>
          <w:smallCaps/>
          <w:sz w:val="22"/>
          <w:szCs w:val="22"/>
        </w:rPr>
        <w:t xml:space="preserve"> </w:t>
      </w:r>
      <w:r w:rsidR="00961C52">
        <w:rPr>
          <w:b/>
          <w:smallCaps/>
          <w:sz w:val="22"/>
          <w:szCs w:val="22"/>
        </w:rPr>
        <w:tab/>
      </w:r>
      <w:r w:rsidR="00F45AE4">
        <w:t>New</w:t>
      </w:r>
      <w:r>
        <w:t xml:space="preserve"> York City Council Finance Division</w:t>
      </w:r>
      <w:r w:rsidR="00F45AE4" w:rsidRPr="00F45AE4">
        <w:t xml:space="preserve"> </w:t>
      </w:r>
    </w:p>
    <w:p w:rsidR="008077D7" w:rsidRDefault="008077D7" w:rsidP="001A33FF">
      <w:pPr>
        <w:rPr>
          <w:b/>
          <w:smallCaps/>
          <w:sz w:val="22"/>
          <w:szCs w:val="22"/>
        </w:rPr>
      </w:pPr>
    </w:p>
    <w:p w:rsidR="00F50F25" w:rsidRPr="00F50F25" w:rsidRDefault="00DB442D" w:rsidP="001911B8">
      <w:pPr>
        <w:pStyle w:val="NoSpacing"/>
      </w:pPr>
      <w:r>
        <w:rPr>
          <w:b/>
          <w:smallCaps/>
        </w:rPr>
        <w:t xml:space="preserve">Estimate Prepared By: </w:t>
      </w:r>
      <w:r w:rsidR="001A33FF">
        <w:t xml:space="preserve"> </w:t>
      </w:r>
      <w:r w:rsidR="00B15B04">
        <w:t xml:space="preserve">  </w:t>
      </w:r>
      <w:r w:rsidR="001A33FF">
        <w:t>Crilhien R. Francisco, Senior Legislative Financial Analyst</w:t>
      </w:r>
    </w:p>
    <w:p w:rsidR="00DB442D" w:rsidRPr="006E1466" w:rsidRDefault="00F50F25" w:rsidP="00DB442D">
      <w:pPr>
        <w:rPr>
          <w:sz w:val="22"/>
          <w:szCs w:val="22"/>
        </w:rPr>
      </w:pPr>
      <w:r>
        <w:rPr>
          <w:b/>
          <w:smallCaps/>
          <w:sz w:val="22"/>
          <w:szCs w:val="22"/>
        </w:rPr>
        <w:tab/>
      </w:r>
      <w:r>
        <w:rPr>
          <w:b/>
          <w:smallCaps/>
          <w:sz w:val="22"/>
          <w:szCs w:val="22"/>
        </w:rPr>
        <w:tab/>
      </w:r>
    </w:p>
    <w:p w:rsidR="005C29A6" w:rsidRDefault="00253FDF" w:rsidP="005C29A6">
      <w:pPr>
        <w:ind w:left="3600" w:hanging="3600"/>
      </w:pPr>
      <w:r>
        <w:rPr>
          <w:b/>
          <w:smallCaps/>
          <w:sz w:val="22"/>
          <w:szCs w:val="22"/>
        </w:rPr>
        <w:t>Estimated Reviewed By:</w:t>
      </w:r>
      <w:r w:rsidR="001A33FF">
        <w:t xml:space="preserve"> </w:t>
      </w:r>
      <w:r w:rsidR="00B15B04">
        <w:t xml:space="preserve">  </w:t>
      </w:r>
      <w:r w:rsidR="001A33FF">
        <w:t xml:space="preserve">Regina Poreda Ryan, Deputy Director, </w:t>
      </w:r>
      <w:r w:rsidR="001A33FF" w:rsidRPr="00F50F25">
        <w:t>New York City Council Finance Division</w:t>
      </w:r>
      <w:r w:rsidR="005C29A6">
        <w:rPr>
          <w:b/>
          <w:smallCaps/>
          <w:sz w:val="22"/>
          <w:szCs w:val="22"/>
        </w:rPr>
        <w:tab/>
      </w:r>
    </w:p>
    <w:p w:rsidR="00253FDF" w:rsidRPr="008077D7" w:rsidRDefault="001911B8" w:rsidP="005C29A6">
      <w:pPr>
        <w:ind w:left="3600" w:hanging="1440"/>
      </w:pPr>
      <w:r>
        <w:t xml:space="preserve">        </w:t>
      </w:r>
      <w:r w:rsidR="00A5128B">
        <w:t xml:space="preserve"> </w:t>
      </w:r>
      <w:r w:rsidR="005C29A6" w:rsidRPr="00F50F25">
        <w:t>R</w:t>
      </w:r>
      <w:r w:rsidR="005C29A6">
        <w:t>ebecca Chasan</w:t>
      </w:r>
      <w:r w:rsidR="005C29A6" w:rsidRPr="00F50F25">
        <w:t xml:space="preserve">, </w:t>
      </w:r>
      <w:r w:rsidR="005C29A6">
        <w:t xml:space="preserve">Assistant Counsel, </w:t>
      </w:r>
      <w:r w:rsidR="005C29A6" w:rsidRPr="00F50F25">
        <w:t>New York City Council Finance Division</w:t>
      </w:r>
    </w:p>
    <w:p w:rsidR="008077D7" w:rsidRPr="008077D7" w:rsidRDefault="00DB442D" w:rsidP="00DB442D">
      <w:pPr>
        <w:spacing w:before="240"/>
      </w:pPr>
      <w:r w:rsidRPr="000B7EB0">
        <w:rPr>
          <w:b/>
          <w:smallCaps/>
          <w:sz w:val="22"/>
          <w:szCs w:val="22"/>
        </w:rPr>
        <w:t>Legislative History:</w:t>
      </w:r>
      <w:r>
        <w:rPr>
          <w:b/>
          <w:smallCaps/>
          <w:sz w:val="22"/>
          <w:szCs w:val="22"/>
        </w:rPr>
        <w:t xml:space="preserve"> </w:t>
      </w:r>
      <w:r w:rsidR="007A4C6C">
        <w:t>Intro. No. 358</w:t>
      </w:r>
      <w:r w:rsidR="00841828">
        <w:t xml:space="preserve"> was introduced to the Council on </w:t>
      </w:r>
      <w:r w:rsidR="007A2652">
        <w:t>May 29</w:t>
      </w:r>
      <w:r w:rsidR="00841828">
        <w:t xml:space="preserve">, 2014 and referred to the </w:t>
      </w:r>
      <w:r w:rsidR="00841828" w:rsidRPr="00C03A94">
        <w:t>Committee on Health</w:t>
      </w:r>
      <w:r w:rsidR="00841828" w:rsidRPr="00C03A94">
        <w:rPr>
          <w:bCs/>
        </w:rPr>
        <w:t xml:space="preserve">. The Committee on Health </w:t>
      </w:r>
      <w:r w:rsidR="00841828" w:rsidRPr="00C03A94">
        <w:t>held a hearing</w:t>
      </w:r>
      <w:r w:rsidR="007A4C6C">
        <w:t>, jointly with the Committee on Aging,</w:t>
      </w:r>
      <w:r w:rsidR="00841828" w:rsidRPr="00C03A94">
        <w:t xml:space="preserve"> on Intro. </w:t>
      </w:r>
      <w:r w:rsidR="007A2652">
        <w:t>No. 358</w:t>
      </w:r>
      <w:r w:rsidR="00841828" w:rsidRPr="00C03A94">
        <w:t xml:space="preserve"> on </w:t>
      </w:r>
      <w:r w:rsidR="007A2652">
        <w:t>September 4</w:t>
      </w:r>
      <w:r w:rsidR="00841828" w:rsidRPr="00C03A94">
        <w:t xml:space="preserve">, 2014 and the legislation </w:t>
      </w:r>
      <w:proofErr w:type="gramStart"/>
      <w:r w:rsidR="00841828" w:rsidRPr="00C03A94">
        <w:t>was</w:t>
      </w:r>
      <w:proofErr w:type="gramEnd"/>
      <w:r w:rsidR="00841828" w:rsidRPr="00C03A94">
        <w:t xml:space="preserve"> laid over. The legislation was subsequently amended and the amended </w:t>
      </w:r>
      <w:r w:rsidR="007A2652">
        <w:t>legislation, Proposed Int. No.358</w:t>
      </w:r>
      <w:r w:rsidR="00841828" w:rsidRPr="00C03A94">
        <w:t>-A, will be voted on by the Committee on Health</w:t>
      </w:r>
      <w:r w:rsidR="00841828" w:rsidRPr="00C03A94">
        <w:rPr>
          <w:bCs/>
        </w:rPr>
        <w:t xml:space="preserve"> on December 16, 2014.</w:t>
      </w:r>
      <w:r w:rsidR="00841828" w:rsidRPr="00C03A94">
        <w:t xml:space="preserve"> Upon successful vote by the</w:t>
      </w:r>
      <w:r w:rsidR="00841828">
        <w:t xml:space="preserve"> </w:t>
      </w:r>
      <w:r w:rsidR="007A2652">
        <w:t>Committee, Proposed Int. No. 358</w:t>
      </w:r>
      <w:r w:rsidR="00841828" w:rsidRPr="00C03A94">
        <w:t>-A will be submitted</w:t>
      </w:r>
      <w:r w:rsidR="00841828" w:rsidRPr="00FC0228">
        <w:t xml:space="preserve"> to the full Council for a vote on December </w:t>
      </w:r>
      <w:r w:rsidR="00841828">
        <w:t>17</w:t>
      </w:r>
      <w:r w:rsidR="00841828" w:rsidRPr="00FC0228">
        <w:t>, 2014.</w:t>
      </w:r>
    </w:p>
    <w:p w:rsidR="00DB442D" w:rsidRPr="006E1466" w:rsidRDefault="00DB442D" w:rsidP="00DB442D">
      <w:pPr>
        <w:spacing w:before="120"/>
        <w:rPr>
          <w:sz w:val="22"/>
          <w:szCs w:val="22"/>
        </w:rPr>
      </w:pPr>
      <w:r>
        <w:rPr>
          <w:b/>
          <w:smallCaps/>
          <w:sz w:val="22"/>
          <w:szCs w:val="22"/>
        </w:rPr>
        <w:t xml:space="preserve">Date </w:t>
      </w:r>
      <w:r w:rsidR="00886309">
        <w:rPr>
          <w:b/>
          <w:smallCaps/>
          <w:sz w:val="22"/>
          <w:szCs w:val="22"/>
        </w:rPr>
        <w:t>prepared</w:t>
      </w:r>
      <w:r>
        <w:rPr>
          <w:b/>
          <w:smallCaps/>
          <w:sz w:val="22"/>
          <w:szCs w:val="22"/>
        </w:rPr>
        <w:t xml:space="preserve">:  </w:t>
      </w:r>
      <w:r w:rsidR="004D7509">
        <w:fldChar w:fldCharType="begin"/>
      </w:r>
      <w:r w:rsidR="00841828">
        <w:instrText xml:space="preserve"> DATE \@ "MMMM d, yyyy" </w:instrText>
      </w:r>
      <w:r w:rsidR="004D7509">
        <w:fldChar w:fldCharType="separate"/>
      </w:r>
      <w:r w:rsidR="0074155A">
        <w:rPr>
          <w:noProof/>
        </w:rPr>
        <w:t>December 16, 2014</w:t>
      </w:r>
      <w:r w:rsidR="004D7509">
        <w:fldChar w:fldCharType="end"/>
      </w:r>
    </w:p>
    <w:p w:rsidR="005B7DE1" w:rsidRDefault="005B7DE1"/>
    <w:sectPr w:rsidR="005B7DE1" w:rsidSect="007A4C6C">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52" w:rsidRDefault="00FC0252">
      <w:r>
        <w:separator/>
      </w:r>
    </w:p>
  </w:endnote>
  <w:endnote w:type="continuationSeparator" w:id="0">
    <w:p w:rsidR="00FC0252" w:rsidRDefault="00FC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6C" w:rsidRDefault="007A4C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Proposed Intro. No. 358-A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C0252">
      <w:fldChar w:fldCharType="begin"/>
    </w:r>
    <w:r w:rsidR="00FC0252">
      <w:instrText xml:space="preserve"> PAGE   \* MERGEFORMAT </w:instrText>
    </w:r>
    <w:r w:rsidR="00FC0252">
      <w:fldChar w:fldCharType="separate"/>
    </w:r>
    <w:r w:rsidR="0074155A" w:rsidRPr="0074155A">
      <w:rPr>
        <w:rFonts w:asciiTheme="majorHAnsi" w:eastAsiaTheme="majorEastAsia" w:hAnsiTheme="majorHAnsi" w:cstheme="majorBidi"/>
        <w:noProof/>
      </w:rPr>
      <w:t>2</w:t>
    </w:r>
    <w:r w:rsidR="00FC0252">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52" w:rsidRDefault="00FC0252">
      <w:r>
        <w:separator/>
      </w:r>
    </w:p>
  </w:footnote>
  <w:footnote w:type="continuationSeparator" w:id="0">
    <w:p w:rsidR="00FC0252" w:rsidRDefault="00FC0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2D"/>
    <w:rsid w:val="000A76BB"/>
    <w:rsid w:val="000B233B"/>
    <w:rsid w:val="00114EB0"/>
    <w:rsid w:val="00183067"/>
    <w:rsid w:val="001911B8"/>
    <w:rsid w:val="001A33FF"/>
    <w:rsid w:val="001B26A5"/>
    <w:rsid w:val="001D35CD"/>
    <w:rsid w:val="001D6E7A"/>
    <w:rsid w:val="001E3EFD"/>
    <w:rsid w:val="002227B1"/>
    <w:rsid w:val="00236CB4"/>
    <w:rsid w:val="00253FDF"/>
    <w:rsid w:val="00261941"/>
    <w:rsid w:val="002C002B"/>
    <w:rsid w:val="002C4DAA"/>
    <w:rsid w:val="00300396"/>
    <w:rsid w:val="003950EA"/>
    <w:rsid w:val="003B54A1"/>
    <w:rsid w:val="003B6414"/>
    <w:rsid w:val="003D2688"/>
    <w:rsid w:val="003F64D1"/>
    <w:rsid w:val="00411587"/>
    <w:rsid w:val="004312F2"/>
    <w:rsid w:val="004767B9"/>
    <w:rsid w:val="00481835"/>
    <w:rsid w:val="004C4586"/>
    <w:rsid w:val="004D7509"/>
    <w:rsid w:val="004F029E"/>
    <w:rsid w:val="0050307F"/>
    <w:rsid w:val="0052072C"/>
    <w:rsid w:val="00527EC7"/>
    <w:rsid w:val="00533AB0"/>
    <w:rsid w:val="0057694F"/>
    <w:rsid w:val="005B1E3C"/>
    <w:rsid w:val="005B7DE1"/>
    <w:rsid w:val="005C29A6"/>
    <w:rsid w:val="005C7DFA"/>
    <w:rsid w:val="005D5CE4"/>
    <w:rsid w:val="00602FDE"/>
    <w:rsid w:val="006278B0"/>
    <w:rsid w:val="006419C8"/>
    <w:rsid w:val="0064551D"/>
    <w:rsid w:val="00645C48"/>
    <w:rsid w:val="00665B65"/>
    <w:rsid w:val="006E1BB5"/>
    <w:rsid w:val="0073590A"/>
    <w:rsid w:val="0074155A"/>
    <w:rsid w:val="007525AB"/>
    <w:rsid w:val="007579BC"/>
    <w:rsid w:val="00770C39"/>
    <w:rsid w:val="00777F5F"/>
    <w:rsid w:val="007A2652"/>
    <w:rsid w:val="007A4C6C"/>
    <w:rsid w:val="007B6073"/>
    <w:rsid w:val="007B74A9"/>
    <w:rsid w:val="007F0303"/>
    <w:rsid w:val="008077D7"/>
    <w:rsid w:val="00814B2B"/>
    <w:rsid w:val="0084074E"/>
    <w:rsid w:val="00841828"/>
    <w:rsid w:val="0085363D"/>
    <w:rsid w:val="00867846"/>
    <w:rsid w:val="00872F34"/>
    <w:rsid w:val="00886309"/>
    <w:rsid w:val="008D7AE0"/>
    <w:rsid w:val="009151DD"/>
    <w:rsid w:val="00916CD0"/>
    <w:rsid w:val="00961C52"/>
    <w:rsid w:val="009E237D"/>
    <w:rsid w:val="009E6BA9"/>
    <w:rsid w:val="00A22915"/>
    <w:rsid w:val="00A26BE2"/>
    <w:rsid w:val="00A2791A"/>
    <w:rsid w:val="00A37F64"/>
    <w:rsid w:val="00A4523C"/>
    <w:rsid w:val="00A5128B"/>
    <w:rsid w:val="00A67016"/>
    <w:rsid w:val="00A752FF"/>
    <w:rsid w:val="00A80586"/>
    <w:rsid w:val="00AB65F1"/>
    <w:rsid w:val="00B15A68"/>
    <w:rsid w:val="00B15B04"/>
    <w:rsid w:val="00B8241D"/>
    <w:rsid w:val="00B84E74"/>
    <w:rsid w:val="00B97443"/>
    <w:rsid w:val="00BB20DA"/>
    <w:rsid w:val="00BD44DC"/>
    <w:rsid w:val="00C22979"/>
    <w:rsid w:val="00C742A8"/>
    <w:rsid w:val="00CD3B80"/>
    <w:rsid w:val="00D06796"/>
    <w:rsid w:val="00D20C79"/>
    <w:rsid w:val="00D252CA"/>
    <w:rsid w:val="00D7480E"/>
    <w:rsid w:val="00D771C3"/>
    <w:rsid w:val="00DB442D"/>
    <w:rsid w:val="00DB595E"/>
    <w:rsid w:val="00E32A8B"/>
    <w:rsid w:val="00E35E58"/>
    <w:rsid w:val="00EF3B45"/>
    <w:rsid w:val="00F31219"/>
    <w:rsid w:val="00F37B58"/>
    <w:rsid w:val="00F45AE4"/>
    <w:rsid w:val="00F50F25"/>
    <w:rsid w:val="00F71B37"/>
    <w:rsid w:val="00F84202"/>
    <w:rsid w:val="00F962EF"/>
    <w:rsid w:val="00FC0252"/>
    <w:rsid w:val="00FD7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6309"/>
    <w:rPr>
      <w:sz w:val="16"/>
      <w:szCs w:val="16"/>
    </w:rPr>
  </w:style>
  <w:style w:type="paragraph" w:styleId="CommentText">
    <w:name w:val="annotation text"/>
    <w:basedOn w:val="Normal"/>
    <w:link w:val="CommentTextChar"/>
    <w:uiPriority w:val="99"/>
    <w:semiHidden/>
    <w:unhideWhenUsed/>
    <w:rsid w:val="00886309"/>
    <w:rPr>
      <w:sz w:val="20"/>
      <w:szCs w:val="20"/>
    </w:rPr>
  </w:style>
  <w:style w:type="character" w:customStyle="1" w:styleId="CommentTextChar">
    <w:name w:val="Comment Text Char"/>
    <w:basedOn w:val="DefaultParagraphFont"/>
    <w:link w:val="CommentText"/>
    <w:uiPriority w:val="99"/>
    <w:semiHidden/>
    <w:rsid w:val="00886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309"/>
    <w:rPr>
      <w:b/>
      <w:bCs/>
    </w:rPr>
  </w:style>
  <w:style w:type="character" w:customStyle="1" w:styleId="CommentSubjectChar">
    <w:name w:val="Comment Subject Char"/>
    <w:basedOn w:val="CommentTextChar"/>
    <w:link w:val="CommentSubject"/>
    <w:uiPriority w:val="99"/>
    <w:semiHidden/>
    <w:rsid w:val="0088630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6309"/>
    <w:rPr>
      <w:sz w:val="16"/>
      <w:szCs w:val="16"/>
    </w:rPr>
  </w:style>
  <w:style w:type="paragraph" w:styleId="CommentText">
    <w:name w:val="annotation text"/>
    <w:basedOn w:val="Normal"/>
    <w:link w:val="CommentTextChar"/>
    <w:uiPriority w:val="99"/>
    <w:semiHidden/>
    <w:unhideWhenUsed/>
    <w:rsid w:val="00886309"/>
    <w:rPr>
      <w:sz w:val="20"/>
      <w:szCs w:val="20"/>
    </w:rPr>
  </w:style>
  <w:style w:type="character" w:customStyle="1" w:styleId="CommentTextChar">
    <w:name w:val="Comment Text Char"/>
    <w:basedOn w:val="DefaultParagraphFont"/>
    <w:link w:val="CommentText"/>
    <w:uiPriority w:val="99"/>
    <w:semiHidden/>
    <w:rsid w:val="00886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309"/>
    <w:rPr>
      <w:b/>
      <w:bCs/>
    </w:rPr>
  </w:style>
  <w:style w:type="character" w:customStyle="1" w:styleId="CommentSubjectChar">
    <w:name w:val="Comment Subject Char"/>
    <w:basedOn w:val="CommentTextChar"/>
    <w:link w:val="CommentSubject"/>
    <w:uiPriority w:val="99"/>
    <w:semiHidden/>
    <w:rsid w:val="008863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743">
      <w:bodyDiv w:val="1"/>
      <w:marLeft w:val="0"/>
      <w:marRight w:val="0"/>
      <w:marTop w:val="0"/>
      <w:marBottom w:val="0"/>
      <w:divBdr>
        <w:top w:val="none" w:sz="0" w:space="0" w:color="auto"/>
        <w:left w:val="none" w:sz="0" w:space="0" w:color="auto"/>
        <w:bottom w:val="none" w:sz="0" w:space="0" w:color="auto"/>
        <w:right w:val="none" w:sz="0" w:space="0" w:color="auto"/>
      </w:divBdr>
    </w:div>
    <w:div w:id="8684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0BCE-45F8-41ED-8275-64B8EE7B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Crilhien Francisco</dc:creator>
  <cp:lastModifiedBy>Crilhien R. Francisco</cp:lastModifiedBy>
  <cp:revision>4</cp:revision>
  <cp:lastPrinted>2014-12-15T22:01:00Z</cp:lastPrinted>
  <dcterms:created xsi:type="dcterms:W3CDTF">2014-12-16T17:33:00Z</dcterms:created>
  <dcterms:modified xsi:type="dcterms:W3CDTF">2014-12-16T21:11:00Z</dcterms:modified>
</cp:coreProperties>
</file>